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D3D43" w14:textId="77777777" w:rsidR="00284992" w:rsidRPr="004A52FA" w:rsidRDefault="00284992" w:rsidP="00CC2B7F">
      <w:pPr>
        <w:jc w:val="center"/>
        <w:rPr>
          <w:rFonts w:ascii="Arial" w:hAnsi="Arial" w:cs="Arial"/>
          <w:b/>
        </w:rPr>
      </w:pPr>
      <w:r w:rsidRPr="004A52FA">
        <w:rPr>
          <w:rFonts w:ascii="Arial" w:hAnsi="Arial" w:cs="Arial"/>
          <w:b/>
        </w:rPr>
        <w:t>PRESS RELEASE</w:t>
      </w:r>
    </w:p>
    <w:p w14:paraId="6EE41CB0" w14:textId="77777777" w:rsidR="00284992" w:rsidRPr="004A52FA" w:rsidRDefault="00284992" w:rsidP="00ED6E34">
      <w:pPr>
        <w:rPr>
          <w:rFonts w:ascii="Arial" w:hAnsi="Arial" w:cs="Arial"/>
          <w:b/>
        </w:rPr>
      </w:pPr>
    </w:p>
    <w:p w14:paraId="402D749D" w14:textId="12314469" w:rsidR="00284992" w:rsidRPr="004A52FA" w:rsidRDefault="00FE4B6F" w:rsidP="00F92994">
      <w:pPr>
        <w:jc w:val="center"/>
        <w:rPr>
          <w:rFonts w:ascii="Arial" w:hAnsi="Arial" w:cs="Arial"/>
        </w:rPr>
      </w:pPr>
      <w:proofErr w:type="spellStart"/>
      <w:r>
        <w:rPr>
          <w:rFonts w:ascii="Arial" w:hAnsi="Arial" w:cs="Arial"/>
          <w:b/>
        </w:rPr>
        <w:t>Parbec</w:t>
      </w:r>
      <w:proofErr w:type="spellEnd"/>
      <w:r>
        <w:rPr>
          <w:rFonts w:ascii="Arial" w:hAnsi="Arial" w:cs="Arial"/>
          <w:b/>
        </w:rPr>
        <w:t xml:space="preserve"> Resource Estimate</w:t>
      </w:r>
    </w:p>
    <w:p w14:paraId="2ADF7B6F" w14:textId="77777777" w:rsidR="00F92994" w:rsidRPr="004A52FA" w:rsidRDefault="00F92994" w:rsidP="00EB5045">
      <w:pPr>
        <w:jc w:val="both"/>
        <w:rPr>
          <w:rFonts w:ascii="Arial" w:hAnsi="Arial" w:cs="Arial"/>
          <w:b/>
          <w:sz w:val="20"/>
          <w:szCs w:val="20"/>
        </w:rPr>
      </w:pPr>
    </w:p>
    <w:p w14:paraId="16A9ABED" w14:textId="1E8214DE" w:rsidR="00FE4B6F" w:rsidRPr="00FE4B6F" w:rsidRDefault="00067DFE" w:rsidP="00FE4B6F">
      <w:pPr>
        <w:jc w:val="both"/>
        <w:rPr>
          <w:rFonts w:ascii="Arial" w:hAnsi="Arial" w:cs="Arial"/>
          <w:sz w:val="20"/>
          <w:szCs w:val="20"/>
        </w:rPr>
      </w:pPr>
      <w:r w:rsidRPr="004A52FA">
        <w:rPr>
          <w:rFonts w:ascii="Arial" w:hAnsi="Arial" w:cs="Arial"/>
          <w:b/>
          <w:sz w:val="20"/>
          <w:szCs w:val="20"/>
        </w:rPr>
        <w:t>Toronto –</w:t>
      </w:r>
      <w:r w:rsidR="00FE4B6F">
        <w:rPr>
          <w:rFonts w:ascii="Arial" w:hAnsi="Arial" w:cs="Arial"/>
          <w:b/>
          <w:sz w:val="20"/>
          <w:szCs w:val="20"/>
        </w:rPr>
        <w:t xml:space="preserve"> March 7, 2016</w:t>
      </w:r>
      <w:r w:rsidR="00284992" w:rsidRPr="004A52FA">
        <w:rPr>
          <w:rFonts w:ascii="Arial" w:hAnsi="Arial" w:cs="Arial"/>
          <w:sz w:val="20"/>
          <w:szCs w:val="20"/>
        </w:rPr>
        <w:t xml:space="preserve"> – </w:t>
      </w:r>
      <w:r w:rsidR="00284992" w:rsidRPr="004A52FA">
        <w:rPr>
          <w:rFonts w:ascii="Arial" w:hAnsi="Arial" w:cs="Arial"/>
          <w:b/>
          <w:sz w:val="20"/>
          <w:szCs w:val="20"/>
        </w:rPr>
        <w:t>Renforth Resources Inc.</w:t>
      </w:r>
      <w:r w:rsidR="00284992" w:rsidRPr="004A52FA">
        <w:rPr>
          <w:rFonts w:ascii="Arial" w:hAnsi="Arial" w:cs="Arial"/>
          <w:sz w:val="20"/>
          <w:szCs w:val="20"/>
        </w:rPr>
        <w:t xml:space="preserve"> (</w:t>
      </w:r>
      <w:r w:rsidR="00284992" w:rsidRPr="004A52FA">
        <w:rPr>
          <w:rFonts w:ascii="Arial" w:hAnsi="Arial" w:cs="Arial"/>
          <w:b/>
          <w:sz w:val="20"/>
          <w:szCs w:val="20"/>
        </w:rPr>
        <w:t>CSE: RFR</w:t>
      </w:r>
      <w:r w:rsidR="00284992" w:rsidRPr="004A52FA">
        <w:rPr>
          <w:rFonts w:ascii="Arial" w:hAnsi="Arial" w:cs="Arial"/>
          <w:sz w:val="20"/>
          <w:szCs w:val="20"/>
        </w:rPr>
        <w:t>) (“</w:t>
      </w:r>
      <w:r w:rsidR="00284992" w:rsidRPr="004A52FA">
        <w:rPr>
          <w:rFonts w:ascii="Arial" w:hAnsi="Arial" w:cs="Arial"/>
          <w:b/>
          <w:sz w:val="20"/>
          <w:szCs w:val="20"/>
        </w:rPr>
        <w:t>Renforth</w:t>
      </w:r>
      <w:r w:rsidR="00284992" w:rsidRPr="004A52FA">
        <w:rPr>
          <w:rFonts w:ascii="Arial" w:hAnsi="Arial" w:cs="Arial"/>
          <w:sz w:val="20"/>
          <w:szCs w:val="20"/>
        </w:rPr>
        <w:t>” or the “</w:t>
      </w:r>
      <w:r w:rsidR="00284992" w:rsidRPr="004A52FA">
        <w:rPr>
          <w:rFonts w:ascii="Arial" w:hAnsi="Arial" w:cs="Arial"/>
          <w:b/>
          <w:sz w:val="20"/>
          <w:szCs w:val="20"/>
        </w:rPr>
        <w:t>Company</w:t>
      </w:r>
      <w:r w:rsidR="00284992" w:rsidRPr="004A52FA">
        <w:rPr>
          <w:rFonts w:ascii="Arial" w:hAnsi="Arial" w:cs="Arial"/>
          <w:sz w:val="20"/>
          <w:szCs w:val="20"/>
        </w:rPr>
        <w:t xml:space="preserve">”) </w:t>
      </w:r>
      <w:r w:rsidR="00FE4B6F" w:rsidRPr="00FE4B6F">
        <w:rPr>
          <w:rFonts w:ascii="Arial" w:hAnsi="Arial" w:cs="Arial"/>
          <w:sz w:val="20"/>
          <w:szCs w:val="20"/>
        </w:rPr>
        <w:t xml:space="preserve">Renforth is pleased to provide an initial resource statement prepared pursuant to NI 43-101 for the </w:t>
      </w:r>
      <w:proofErr w:type="spellStart"/>
      <w:r w:rsidR="00FE4B6F" w:rsidRPr="00FE4B6F">
        <w:rPr>
          <w:rFonts w:ascii="Arial" w:hAnsi="Arial" w:cs="Arial"/>
          <w:sz w:val="20"/>
          <w:szCs w:val="20"/>
        </w:rPr>
        <w:t>Parbec</w:t>
      </w:r>
      <w:proofErr w:type="spellEnd"/>
      <w:r w:rsidR="00FE4B6F" w:rsidRPr="00FE4B6F">
        <w:rPr>
          <w:rFonts w:ascii="Arial" w:hAnsi="Arial" w:cs="Arial"/>
          <w:sz w:val="20"/>
          <w:szCs w:val="20"/>
        </w:rPr>
        <w:t xml:space="preserve"> Property, located on the Cadillac Break in </w:t>
      </w:r>
      <w:proofErr w:type="spellStart"/>
      <w:r w:rsidR="00FE4B6F" w:rsidRPr="00FE4B6F">
        <w:rPr>
          <w:rFonts w:ascii="Arial" w:hAnsi="Arial" w:cs="Arial"/>
          <w:sz w:val="20"/>
          <w:szCs w:val="20"/>
        </w:rPr>
        <w:t>Malartic</w:t>
      </w:r>
      <w:proofErr w:type="spellEnd"/>
      <w:r w:rsidR="00FE4B6F" w:rsidRPr="00FE4B6F">
        <w:rPr>
          <w:rFonts w:ascii="Arial" w:hAnsi="Arial" w:cs="Arial"/>
          <w:sz w:val="20"/>
          <w:szCs w:val="20"/>
        </w:rPr>
        <w:t>, Quebec as follows;</w:t>
      </w:r>
    </w:p>
    <w:p w14:paraId="06355920" w14:textId="77777777" w:rsidR="00FE4B6F" w:rsidRPr="00FE4B6F" w:rsidRDefault="00FE4B6F" w:rsidP="00FE4B6F">
      <w:pPr>
        <w:rPr>
          <w:rFonts w:ascii="Arial" w:hAnsi="Arial" w:cs="Arial"/>
          <w:sz w:val="20"/>
          <w:szCs w:val="20"/>
        </w:rPr>
      </w:pPr>
    </w:p>
    <w:tbl>
      <w:tblPr>
        <w:tblW w:w="8520" w:type="dxa"/>
        <w:tblInd w:w="93" w:type="dxa"/>
        <w:tblLook w:val="04A0" w:firstRow="1" w:lastRow="0" w:firstColumn="1" w:lastColumn="0" w:noHBand="0" w:noVBand="1"/>
      </w:tblPr>
      <w:tblGrid>
        <w:gridCol w:w="2560"/>
        <w:gridCol w:w="1346"/>
        <w:gridCol w:w="1638"/>
        <w:gridCol w:w="1476"/>
        <w:gridCol w:w="1500"/>
      </w:tblGrid>
      <w:tr w:rsidR="00FE4B6F" w:rsidRPr="00FE4B6F" w14:paraId="50266B5D" w14:textId="77777777" w:rsidTr="00AA1BFE">
        <w:trPr>
          <w:trHeight w:val="300"/>
        </w:trPr>
        <w:tc>
          <w:tcPr>
            <w:tcW w:w="2560" w:type="dxa"/>
            <w:tcBorders>
              <w:top w:val="nil"/>
              <w:left w:val="nil"/>
              <w:bottom w:val="nil"/>
              <w:right w:val="nil"/>
            </w:tcBorders>
            <w:shd w:val="clear" w:color="auto" w:fill="auto"/>
            <w:noWrap/>
            <w:vAlign w:val="bottom"/>
            <w:hideMark/>
          </w:tcPr>
          <w:p w14:paraId="47A8D2AD" w14:textId="77777777" w:rsidR="00FE4B6F" w:rsidRPr="00FE4B6F" w:rsidRDefault="00FE4B6F" w:rsidP="00AA1BFE">
            <w:pPr>
              <w:rPr>
                <w:rFonts w:ascii="Arial" w:eastAsia="Times New Roman" w:hAnsi="Arial" w:cs="Arial"/>
                <w:color w:val="000000"/>
                <w:sz w:val="20"/>
                <w:szCs w:val="20"/>
              </w:rPr>
            </w:pPr>
          </w:p>
        </w:tc>
        <w:tc>
          <w:tcPr>
            <w:tcW w:w="59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2A71D93" w14:textId="6DFD2A4D" w:rsidR="00FE4B6F" w:rsidRPr="00FE4B6F" w:rsidRDefault="00FE4B6F" w:rsidP="00AA1BFE">
            <w:pPr>
              <w:jc w:val="center"/>
              <w:rPr>
                <w:rFonts w:ascii="Arial" w:eastAsia="Times New Roman" w:hAnsi="Arial" w:cs="Arial"/>
                <w:bCs/>
                <w:color w:val="FF0000"/>
                <w:sz w:val="20"/>
                <w:szCs w:val="20"/>
              </w:rPr>
            </w:pPr>
            <w:bookmarkStart w:id="0" w:name="_GoBack"/>
            <w:bookmarkEnd w:id="0"/>
            <w:r w:rsidRPr="00FE4B6F">
              <w:rPr>
                <w:rFonts w:ascii="Arial" w:eastAsia="Times New Roman" w:hAnsi="Arial" w:cs="Arial"/>
                <w:bCs/>
                <w:color w:val="FF0000"/>
                <w:sz w:val="20"/>
                <w:szCs w:val="20"/>
              </w:rPr>
              <w:t xml:space="preserve">March 2016 </w:t>
            </w:r>
            <w:proofErr w:type="spellStart"/>
            <w:r w:rsidRPr="00FE4B6F">
              <w:rPr>
                <w:rFonts w:ascii="Arial" w:eastAsia="Times New Roman" w:hAnsi="Arial" w:cs="Arial"/>
                <w:bCs/>
                <w:color w:val="FF0000"/>
                <w:sz w:val="20"/>
                <w:szCs w:val="20"/>
              </w:rPr>
              <w:t>Parbec</w:t>
            </w:r>
            <w:proofErr w:type="spellEnd"/>
            <w:r w:rsidRPr="00FE4B6F">
              <w:rPr>
                <w:rFonts w:ascii="Arial" w:eastAsia="Times New Roman" w:hAnsi="Arial" w:cs="Arial"/>
                <w:bCs/>
                <w:color w:val="FF0000"/>
                <w:sz w:val="20"/>
                <w:szCs w:val="20"/>
              </w:rPr>
              <w:t xml:space="preserve"> Resource Estimate 0.5 g/t Au Cutoff</w:t>
            </w:r>
          </w:p>
        </w:tc>
      </w:tr>
      <w:tr w:rsidR="00FE4B6F" w:rsidRPr="00FE4B6F" w14:paraId="148071DB" w14:textId="77777777" w:rsidTr="00AA1BFE">
        <w:trPr>
          <w:trHeight w:val="300"/>
        </w:trPr>
        <w:tc>
          <w:tcPr>
            <w:tcW w:w="2560" w:type="dxa"/>
            <w:tcBorders>
              <w:top w:val="nil"/>
              <w:left w:val="nil"/>
              <w:bottom w:val="nil"/>
              <w:right w:val="nil"/>
            </w:tcBorders>
            <w:shd w:val="clear" w:color="auto" w:fill="auto"/>
            <w:noWrap/>
            <w:vAlign w:val="bottom"/>
            <w:hideMark/>
          </w:tcPr>
          <w:p w14:paraId="6CF1BC41" w14:textId="77777777" w:rsidR="00FE4B6F" w:rsidRPr="00FE4B6F" w:rsidRDefault="00FE4B6F" w:rsidP="00AA1BFE">
            <w:pPr>
              <w:rPr>
                <w:rFonts w:ascii="Arial" w:eastAsia="Times New Roman" w:hAnsi="Arial" w:cs="Arial"/>
                <w:color w:val="000000"/>
                <w:sz w:val="20"/>
                <w:szCs w:val="20"/>
              </w:rPr>
            </w:pPr>
          </w:p>
        </w:tc>
        <w:tc>
          <w:tcPr>
            <w:tcW w:w="5960"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10CFF1EB" w14:textId="77777777" w:rsidR="00FE4B6F" w:rsidRPr="00FE4B6F" w:rsidRDefault="00FE4B6F" w:rsidP="00AA1BFE">
            <w:pPr>
              <w:jc w:val="center"/>
              <w:rPr>
                <w:rFonts w:ascii="Arial" w:eastAsia="Times New Roman" w:hAnsi="Arial" w:cs="Arial"/>
                <w:b/>
                <w:bCs/>
                <w:color w:val="FF0000"/>
                <w:sz w:val="20"/>
                <w:szCs w:val="20"/>
              </w:rPr>
            </w:pPr>
            <w:r w:rsidRPr="00FE4B6F">
              <w:rPr>
                <w:rFonts w:ascii="Arial" w:eastAsia="Times New Roman" w:hAnsi="Arial" w:cs="Arial"/>
                <w:b/>
                <w:bCs/>
                <w:color w:val="FF0000"/>
                <w:sz w:val="20"/>
                <w:szCs w:val="20"/>
              </w:rPr>
              <w:t>Indicated</w:t>
            </w:r>
          </w:p>
        </w:tc>
      </w:tr>
      <w:tr w:rsidR="00FE4B6F" w:rsidRPr="00FE4B6F" w14:paraId="47000015" w14:textId="77777777" w:rsidTr="00AA1BFE">
        <w:trPr>
          <w:trHeight w:val="300"/>
        </w:trPr>
        <w:tc>
          <w:tcPr>
            <w:tcW w:w="2560" w:type="dxa"/>
            <w:tcBorders>
              <w:top w:val="single" w:sz="8" w:space="0" w:color="auto"/>
              <w:left w:val="single" w:sz="8" w:space="0" w:color="auto"/>
              <w:bottom w:val="nil"/>
              <w:right w:val="nil"/>
            </w:tcBorders>
            <w:shd w:val="clear" w:color="auto" w:fill="auto"/>
            <w:noWrap/>
            <w:vAlign w:val="bottom"/>
            <w:hideMark/>
          </w:tcPr>
          <w:p w14:paraId="1E9C9BDA" w14:textId="77777777" w:rsidR="00FE4B6F" w:rsidRPr="00FE4B6F" w:rsidRDefault="00FE4B6F" w:rsidP="00AA1BFE">
            <w:pPr>
              <w:rPr>
                <w:rFonts w:ascii="Arial" w:eastAsia="Times New Roman" w:hAnsi="Arial" w:cs="Arial"/>
                <w:color w:val="000000"/>
                <w:sz w:val="20"/>
                <w:szCs w:val="20"/>
              </w:rPr>
            </w:pPr>
            <w:r w:rsidRPr="00FE4B6F">
              <w:rPr>
                <w:rFonts w:ascii="Arial" w:eastAsia="Times New Roman" w:hAnsi="Arial" w:cs="Arial"/>
                <w:color w:val="000000"/>
                <w:sz w:val="20"/>
                <w:szCs w:val="20"/>
              </w:rPr>
              <w:t>ZONE</w:t>
            </w:r>
          </w:p>
        </w:tc>
        <w:tc>
          <w:tcPr>
            <w:tcW w:w="1346" w:type="dxa"/>
            <w:tcBorders>
              <w:top w:val="single" w:sz="8" w:space="0" w:color="auto"/>
              <w:left w:val="single" w:sz="8" w:space="0" w:color="auto"/>
              <w:bottom w:val="nil"/>
              <w:right w:val="nil"/>
            </w:tcBorders>
            <w:shd w:val="clear" w:color="auto" w:fill="auto"/>
            <w:noWrap/>
            <w:vAlign w:val="bottom"/>
            <w:hideMark/>
          </w:tcPr>
          <w:p w14:paraId="7913C3FF" w14:textId="77777777" w:rsidR="00FE4B6F" w:rsidRPr="00FE4B6F" w:rsidRDefault="00FE4B6F" w:rsidP="00AA1BFE">
            <w:pPr>
              <w:rPr>
                <w:rFonts w:ascii="Arial" w:eastAsia="Times New Roman" w:hAnsi="Arial" w:cs="Arial"/>
                <w:color w:val="000000"/>
                <w:sz w:val="20"/>
                <w:szCs w:val="20"/>
              </w:rPr>
            </w:pPr>
            <w:r w:rsidRPr="00FE4B6F">
              <w:rPr>
                <w:rFonts w:ascii="Arial" w:eastAsia="Times New Roman" w:hAnsi="Arial" w:cs="Arial"/>
                <w:color w:val="000000"/>
                <w:sz w:val="20"/>
                <w:szCs w:val="20"/>
              </w:rPr>
              <w:t>Tonnage (t)</w:t>
            </w:r>
          </w:p>
        </w:tc>
        <w:tc>
          <w:tcPr>
            <w:tcW w:w="1638" w:type="dxa"/>
            <w:tcBorders>
              <w:top w:val="single" w:sz="8" w:space="0" w:color="auto"/>
              <w:left w:val="nil"/>
              <w:bottom w:val="nil"/>
              <w:right w:val="nil"/>
            </w:tcBorders>
            <w:shd w:val="clear" w:color="auto" w:fill="auto"/>
            <w:noWrap/>
            <w:vAlign w:val="bottom"/>
            <w:hideMark/>
          </w:tcPr>
          <w:p w14:paraId="06530A9F" w14:textId="77777777" w:rsidR="00FE4B6F" w:rsidRPr="00FE4B6F" w:rsidRDefault="00FE4B6F" w:rsidP="00AA1BFE">
            <w:pPr>
              <w:rPr>
                <w:rFonts w:ascii="Arial" w:eastAsia="Times New Roman" w:hAnsi="Arial" w:cs="Arial"/>
                <w:color w:val="000000"/>
                <w:sz w:val="20"/>
                <w:szCs w:val="20"/>
              </w:rPr>
            </w:pPr>
            <w:r w:rsidRPr="00FE4B6F">
              <w:rPr>
                <w:rFonts w:ascii="Arial" w:eastAsia="Times New Roman" w:hAnsi="Arial" w:cs="Arial"/>
                <w:color w:val="000000"/>
                <w:sz w:val="20"/>
                <w:szCs w:val="20"/>
              </w:rPr>
              <w:t>Total Au (g)</w:t>
            </w:r>
          </w:p>
        </w:tc>
        <w:tc>
          <w:tcPr>
            <w:tcW w:w="1476" w:type="dxa"/>
            <w:tcBorders>
              <w:top w:val="single" w:sz="8" w:space="0" w:color="auto"/>
              <w:left w:val="nil"/>
              <w:bottom w:val="nil"/>
              <w:right w:val="nil"/>
            </w:tcBorders>
            <w:shd w:val="clear" w:color="auto" w:fill="auto"/>
            <w:noWrap/>
            <w:vAlign w:val="bottom"/>
            <w:hideMark/>
          </w:tcPr>
          <w:p w14:paraId="3ACB2857" w14:textId="77777777" w:rsidR="00FE4B6F" w:rsidRPr="00FE4B6F" w:rsidRDefault="00FE4B6F" w:rsidP="00AA1BFE">
            <w:pPr>
              <w:rPr>
                <w:rFonts w:ascii="Arial" w:eastAsia="Times New Roman" w:hAnsi="Arial" w:cs="Arial"/>
                <w:color w:val="000000"/>
                <w:sz w:val="20"/>
                <w:szCs w:val="20"/>
              </w:rPr>
            </w:pPr>
            <w:r w:rsidRPr="00FE4B6F">
              <w:rPr>
                <w:rFonts w:ascii="Arial" w:eastAsia="Times New Roman" w:hAnsi="Arial" w:cs="Arial"/>
                <w:color w:val="000000"/>
                <w:sz w:val="20"/>
                <w:szCs w:val="20"/>
              </w:rPr>
              <w:t>Total Au (</w:t>
            </w:r>
            <w:proofErr w:type="spellStart"/>
            <w:r w:rsidRPr="00FE4B6F">
              <w:rPr>
                <w:rFonts w:ascii="Arial" w:eastAsia="Times New Roman" w:hAnsi="Arial" w:cs="Arial"/>
                <w:color w:val="000000"/>
                <w:sz w:val="20"/>
                <w:szCs w:val="20"/>
              </w:rPr>
              <w:t>oz</w:t>
            </w:r>
            <w:proofErr w:type="spellEnd"/>
            <w:r w:rsidRPr="00FE4B6F">
              <w:rPr>
                <w:rFonts w:ascii="Arial" w:eastAsia="Times New Roman" w:hAnsi="Arial" w:cs="Arial"/>
                <w:color w:val="000000"/>
                <w:sz w:val="20"/>
                <w:szCs w:val="20"/>
              </w:rPr>
              <w:t>)</w:t>
            </w:r>
          </w:p>
        </w:tc>
        <w:tc>
          <w:tcPr>
            <w:tcW w:w="1500" w:type="dxa"/>
            <w:tcBorders>
              <w:top w:val="single" w:sz="8" w:space="0" w:color="auto"/>
              <w:left w:val="nil"/>
              <w:bottom w:val="nil"/>
              <w:right w:val="single" w:sz="8" w:space="0" w:color="auto"/>
            </w:tcBorders>
            <w:shd w:val="clear" w:color="auto" w:fill="auto"/>
            <w:noWrap/>
            <w:vAlign w:val="bottom"/>
            <w:hideMark/>
          </w:tcPr>
          <w:p w14:paraId="1ED75C63" w14:textId="77777777" w:rsidR="00FE4B6F" w:rsidRPr="00FE4B6F" w:rsidRDefault="00FE4B6F" w:rsidP="00AA1BFE">
            <w:pPr>
              <w:rPr>
                <w:rFonts w:ascii="Arial" w:eastAsia="Times New Roman" w:hAnsi="Arial" w:cs="Arial"/>
                <w:color w:val="000000"/>
                <w:sz w:val="20"/>
                <w:szCs w:val="20"/>
              </w:rPr>
            </w:pPr>
            <w:r w:rsidRPr="00FE4B6F">
              <w:rPr>
                <w:rFonts w:ascii="Arial" w:eastAsia="Times New Roman" w:hAnsi="Arial" w:cs="Arial"/>
                <w:color w:val="000000"/>
                <w:sz w:val="20"/>
                <w:szCs w:val="20"/>
              </w:rPr>
              <w:t>Grade g/t</w:t>
            </w:r>
          </w:p>
        </w:tc>
      </w:tr>
      <w:tr w:rsidR="00FE4B6F" w:rsidRPr="00FE4B6F" w14:paraId="67756636" w14:textId="77777777" w:rsidTr="00AA1BFE">
        <w:trPr>
          <w:trHeight w:val="300"/>
        </w:trPr>
        <w:tc>
          <w:tcPr>
            <w:tcW w:w="2560"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14:paraId="660FEF5B" w14:textId="77777777" w:rsidR="00FE4B6F" w:rsidRPr="00FE4B6F" w:rsidRDefault="00FE4B6F" w:rsidP="00AA1BFE">
            <w:pPr>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Tuffs: Total</w:t>
            </w:r>
          </w:p>
        </w:tc>
        <w:tc>
          <w:tcPr>
            <w:tcW w:w="1346" w:type="dxa"/>
            <w:tcBorders>
              <w:top w:val="single" w:sz="8" w:space="0" w:color="auto"/>
              <w:left w:val="nil"/>
              <w:bottom w:val="single" w:sz="8" w:space="0" w:color="auto"/>
              <w:right w:val="nil"/>
            </w:tcBorders>
            <w:shd w:val="clear" w:color="000000" w:fill="DDD9C4"/>
            <w:noWrap/>
            <w:vAlign w:val="bottom"/>
            <w:hideMark/>
          </w:tcPr>
          <w:p w14:paraId="0C5E6C13"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263,230</w:t>
            </w:r>
          </w:p>
        </w:tc>
        <w:tc>
          <w:tcPr>
            <w:tcW w:w="1638" w:type="dxa"/>
            <w:tcBorders>
              <w:top w:val="single" w:sz="8" w:space="0" w:color="auto"/>
              <w:left w:val="nil"/>
              <w:bottom w:val="single" w:sz="8" w:space="0" w:color="auto"/>
              <w:right w:val="nil"/>
            </w:tcBorders>
            <w:shd w:val="clear" w:color="000000" w:fill="DDD9C4"/>
            <w:noWrap/>
            <w:vAlign w:val="bottom"/>
            <w:hideMark/>
          </w:tcPr>
          <w:p w14:paraId="1D64CB9A"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952,317</w:t>
            </w:r>
          </w:p>
        </w:tc>
        <w:tc>
          <w:tcPr>
            <w:tcW w:w="1476" w:type="dxa"/>
            <w:tcBorders>
              <w:top w:val="single" w:sz="8" w:space="0" w:color="auto"/>
              <w:left w:val="nil"/>
              <w:bottom w:val="single" w:sz="8" w:space="0" w:color="auto"/>
              <w:right w:val="nil"/>
            </w:tcBorders>
            <w:shd w:val="clear" w:color="000000" w:fill="DDD9C4"/>
            <w:noWrap/>
            <w:vAlign w:val="bottom"/>
            <w:hideMark/>
          </w:tcPr>
          <w:p w14:paraId="3EE39D59"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33,592</w:t>
            </w:r>
          </w:p>
        </w:tc>
        <w:tc>
          <w:tcPr>
            <w:tcW w:w="1500" w:type="dxa"/>
            <w:tcBorders>
              <w:top w:val="single" w:sz="8" w:space="0" w:color="auto"/>
              <w:left w:val="nil"/>
              <w:bottom w:val="single" w:sz="8" w:space="0" w:color="auto"/>
              <w:right w:val="single" w:sz="8" w:space="0" w:color="auto"/>
            </w:tcBorders>
            <w:shd w:val="clear" w:color="000000" w:fill="DDD9C4"/>
            <w:noWrap/>
            <w:vAlign w:val="bottom"/>
            <w:hideMark/>
          </w:tcPr>
          <w:p w14:paraId="3D184755"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3.62</w:t>
            </w:r>
          </w:p>
        </w:tc>
      </w:tr>
      <w:tr w:rsidR="00FE4B6F" w:rsidRPr="00FE4B6F" w14:paraId="63242ADE" w14:textId="77777777" w:rsidTr="00AA1BFE">
        <w:trPr>
          <w:trHeight w:val="300"/>
        </w:trPr>
        <w:tc>
          <w:tcPr>
            <w:tcW w:w="2560" w:type="dxa"/>
            <w:tcBorders>
              <w:top w:val="nil"/>
              <w:left w:val="nil"/>
              <w:bottom w:val="nil"/>
              <w:right w:val="nil"/>
            </w:tcBorders>
            <w:shd w:val="clear" w:color="auto" w:fill="auto"/>
            <w:noWrap/>
            <w:vAlign w:val="bottom"/>
            <w:hideMark/>
          </w:tcPr>
          <w:p w14:paraId="1DDF19C2" w14:textId="77777777" w:rsidR="00FE4B6F" w:rsidRPr="00FE4B6F" w:rsidRDefault="00FE4B6F" w:rsidP="00AA1BFE">
            <w:pPr>
              <w:rPr>
                <w:rFonts w:ascii="Arial" w:eastAsia="Times New Roman" w:hAnsi="Arial" w:cs="Arial"/>
                <w:color w:val="000000"/>
                <w:sz w:val="20"/>
                <w:szCs w:val="20"/>
              </w:rPr>
            </w:pPr>
          </w:p>
        </w:tc>
        <w:tc>
          <w:tcPr>
            <w:tcW w:w="1346" w:type="dxa"/>
            <w:tcBorders>
              <w:top w:val="nil"/>
              <w:left w:val="nil"/>
              <w:bottom w:val="nil"/>
              <w:right w:val="nil"/>
            </w:tcBorders>
            <w:shd w:val="clear" w:color="auto" w:fill="auto"/>
            <w:noWrap/>
            <w:vAlign w:val="bottom"/>
            <w:hideMark/>
          </w:tcPr>
          <w:p w14:paraId="12EBEFC9" w14:textId="77777777" w:rsidR="00FE4B6F" w:rsidRPr="00FE4B6F" w:rsidRDefault="00FE4B6F" w:rsidP="00AA1BFE">
            <w:pPr>
              <w:rPr>
                <w:rFonts w:ascii="Arial" w:eastAsia="Times New Roman" w:hAnsi="Arial" w:cs="Arial"/>
                <w:color w:val="000000"/>
                <w:sz w:val="20"/>
                <w:szCs w:val="20"/>
              </w:rPr>
            </w:pPr>
          </w:p>
        </w:tc>
        <w:tc>
          <w:tcPr>
            <w:tcW w:w="1638" w:type="dxa"/>
            <w:tcBorders>
              <w:top w:val="nil"/>
              <w:left w:val="nil"/>
              <w:bottom w:val="nil"/>
              <w:right w:val="nil"/>
            </w:tcBorders>
            <w:shd w:val="clear" w:color="auto" w:fill="auto"/>
            <w:noWrap/>
            <w:vAlign w:val="bottom"/>
            <w:hideMark/>
          </w:tcPr>
          <w:p w14:paraId="005AB05D" w14:textId="77777777" w:rsidR="00FE4B6F" w:rsidRPr="00FE4B6F" w:rsidRDefault="00FE4B6F" w:rsidP="00AA1BFE">
            <w:pPr>
              <w:rPr>
                <w:rFonts w:ascii="Arial" w:eastAsia="Times New Roman" w:hAnsi="Arial" w:cs="Arial"/>
                <w:color w:val="000000"/>
                <w:sz w:val="20"/>
                <w:szCs w:val="20"/>
              </w:rPr>
            </w:pPr>
          </w:p>
        </w:tc>
        <w:tc>
          <w:tcPr>
            <w:tcW w:w="1476" w:type="dxa"/>
            <w:tcBorders>
              <w:top w:val="nil"/>
              <w:left w:val="nil"/>
              <w:bottom w:val="nil"/>
              <w:right w:val="nil"/>
            </w:tcBorders>
            <w:shd w:val="clear" w:color="auto" w:fill="auto"/>
            <w:noWrap/>
            <w:vAlign w:val="bottom"/>
            <w:hideMark/>
          </w:tcPr>
          <w:p w14:paraId="322C980F" w14:textId="77777777" w:rsidR="00FE4B6F" w:rsidRPr="00FE4B6F" w:rsidRDefault="00FE4B6F" w:rsidP="00AA1BFE">
            <w:pPr>
              <w:rPr>
                <w:rFonts w:ascii="Arial" w:eastAsia="Times New Roman" w:hAnsi="Arial" w:cs="Arial"/>
                <w:color w:val="000000"/>
                <w:sz w:val="20"/>
                <w:szCs w:val="20"/>
              </w:rPr>
            </w:pPr>
          </w:p>
        </w:tc>
        <w:tc>
          <w:tcPr>
            <w:tcW w:w="1500" w:type="dxa"/>
            <w:tcBorders>
              <w:top w:val="nil"/>
              <w:left w:val="nil"/>
              <w:bottom w:val="nil"/>
              <w:right w:val="nil"/>
            </w:tcBorders>
            <w:shd w:val="clear" w:color="auto" w:fill="auto"/>
            <w:noWrap/>
            <w:vAlign w:val="bottom"/>
            <w:hideMark/>
          </w:tcPr>
          <w:p w14:paraId="73D23ABC" w14:textId="77777777" w:rsidR="00FE4B6F" w:rsidRPr="00FE4B6F" w:rsidRDefault="00FE4B6F" w:rsidP="00AA1BFE">
            <w:pPr>
              <w:rPr>
                <w:rFonts w:ascii="Arial" w:eastAsia="Times New Roman" w:hAnsi="Arial" w:cs="Arial"/>
                <w:color w:val="000000"/>
                <w:sz w:val="20"/>
                <w:szCs w:val="20"/>
              </w:rPr>
            </w:pPr>
          </w:p>
        </w:tc>
      </w:tr>
      <w:tr w:rsidR="00FE4B6F" w:rsidRPr="00FE4B6F" w14:paraId="2862C8DE" w14:textId="77777777" w:rsidTr="00AA1BFE">
        <w:trPr>
          <w:trHeight w:val="300"/>
        </w:trPr>
        <w:tc>
          <w:tcPr>
            <w:tcW w:w="2560" w:type="dxa"/>
            <w:tcBorders>
              <w:top w:val="nil"/>
              <w:left w:val="nil"/>
              <w:bottom w:val="nil"/>
              <w:right w:val="nil"/>
            </w:tcBorders>
            <w:shd w:val="clear" w:color="auto" w:fill="auto"/>
            <w:noWrap/>
            <w:vAlign w:val="bottom"/>
            <w:hideMark/>
          </w:tcPr>
          <w:p w14:paraId="7D8D6820" w14:textId="77777777" w:rsidR="00FE4B6F" w:rsidRPr="00FE4B6F" w:rsidRDefault="00FE4B6F" w:rsidP="00AA1BFE">
            <w:pPr>
              <w:rPr>
                <w:rFonts w:ascii="Arial" w:eastAsia="Times New Roman" w:hAnsi="Arial" w:cs="Arial"/>
                <w:color w:val="000000"/>
                <w:sz w:val="20"/>
                <w:szCs w:val="20"/>
              </w:rPr>
            </w:pPr>
          </w:p>
        </w:tc>
        <w:tc>
          <w:tcPr>
            <w:tcW w:w="5960"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34E09FE4" w14:textId="77777777" w:rsidR="00FE4B6F" w:rsidRPr="00FE4B6F" w:rsidRDefault="00FE4B6F" w:rsidP="00AA1BFE">
            <w:pPr>
              <w:jc w:val="center"/>
              <w:rPr>
                <w:rFonts w:ascii="Arial" w:eastAsia="Times New Roman" w:hAnsi="Arial" w:cs="Arial"/>
                <w:b/>
                <w:bCs/>
                <w:color w:val="FF0000"/>
                <w:sz w:val="20"/>
                <w:szCs w:val="20"/>
              </w:rPr>
            </w:pPr>
            <w:r w:rsidRPr="00FE4B6F">
              <w:rPr>
                <w:rFonts w:ascii="Arial" w:eastAsia="Times New Roman" w:hAnsi="Arial" w:cs="Arial"/>
                <w:b/>
                <w:bCs/>
                <w:color w:val="FF0000"/>
                <w:sz w:val="20"/>
                <w:szCs w:val="20"/>
              </w:rPr>
              <w:t>Inferred</w:t>
            </w:r>
          </w:p>
        </w:tc>
      </w:tr>
      <w:tr w:rsidR="00FE4B6F" w:rsidRPr="00FE4B6F" w14:paraId="1422CA9F" w14:textId="77777777" w:rsidTr="00AA1BFE">
        <w:trPr>
          <w:trHeight w:val="280"/>
        </w:trPr>
        <w:tc>
          <w:tcPr>
            <w:tcW w:w="2560" w:type="dxa"/>
            <w:tcBorders>
              <w:top w:val="single" w:sz="8" w:space="0" w:color="auto"/>
              <w:left w:val="single" w:sz="8" w:space="0" w:color="auto"/>
              <w:bottom w:val="single" w:sz="4" w:space="0" w:color="auto"/>
              <w:right w:val="nil"/>
            </w:tcBorders>
            <w:shd w:val="clear" w:color="000000" w:fill="DDD9C4"/>
            <w:noWrap/>
            <w:vAlign w:val="bottom"/>
            <w:hideMark/>
          </w:tcPr>
          <w:p w14:paraId="70C0BAB9" w14:textId="77777777" w:rsidR="00FE4B6F" w:rsidRPr="00FE4B6F" w:rsidRDefault="00FE4B6F" w:rsidP="00AA1BFE">
            <w:pPr>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Tuffs: Total</w:t>
            </w:r>
          </w:p>
        </w:tc>
        <w:tc>
          <w:tcPr>
            <w:tcW w:w="1346" w:type="dxa"/>
            <w:tcBorders>
              <w:top w:val="single" w:sz="8" w:space="0" w:color="auto"/>
              <w:left w:val="single" w:sz="8" w:space="0" w:color="auto"/>
              <w:bottom w:val="single" w:sz="4" w:space="0" w:color="auto"/>
              <w:right w:val="nil"/>
            </w:tcBorders>
            <w:shd w:val="clear" w:color="000000" w:fill="DDD9C4"/>
            <w:noWrap/>
            <w:vAlign w:val="bottom"/>
            <w:hideMark/>
          </w:tcPr>
          <w:p w14:paraId="2CC82F63"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1,862,268</w:t>
            </w:r>
          </w:p>
        </w:tc>
        <w:tc>
          <w:tcPr>
            <w:tcW w:w="1638" w:type="dxa"/>
            <w:tcBorders>
              <w:top w:val="single" w:sz="8" w:space="0" w:color="auto"/>
              <w:left w:val="nil"/>
              <w:bottom w:val="single" w:sz="4" w:space="0" w:color="auto"/>
              <w:right w:val="nil"/>
            </w:tcBorders>
            <w:shd w:val="clear" w:color="000000" w:fill="DDD9C4"/>
            <w:noWrap/>
            <w:vAlign w:val="bottom"/>
            <w:hideMark/>
          </w:tcPr>
          <w:p w14:paraId="16CEBD43"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5,000,236</w:t>
            </w:r>
          </w:p>
        </w:tc>
        <w:tc>
          <w:tcPr>
            <w:tcW w:w="1476" w:type="dxa"/>
            <w:tcBorders>
              <w:top w:val="single" w:sz="8" w:space="0" w:color="auto"/>
              <w:left w:val="nil"/>
              <w:bottom w:val="single" w:sz="4" w:space="0" w:color="auto"/>
              <w:right w:val="nil"/>
            </w:tcBorders>
            <w:shd w:val="clear" w:color="000000" w:fill="DDD9C4"/>
            <w:noWrap/>
            <w:vAlign w:val="bottom"/>
            <w:hideMark/>
          </w:tcPr>
          <w:p w14:paraId="143F7415"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176,378</w:t>
            </w:r>
          </w:p>
        </w:tc>
        <w:tc>
          <w:tcPr>
            <w:tcW w:w="1500" w:type="dxa"/>
            <w:tcBorders>
              <w:top w:val="single" w:sz="8" w:space="0" w:color="auto"/>
              <w:left w:val="nil"/>
              <w:bottom w:val="single" w:sz="4" w:space="0" w:color="auto"/>
              <w:right w:val="single" w:sz="8" w:space="0" w:color="auto"/>
            </w:tcBorders>
            <w:shd w:val="clear" w:color="000000" w:fill="DDD9C4"/>
            <w:noWrap/>
            <w:vAlign w:val="bottom"/>
            <w:hideMark/>
          </w:tcPr>
          <w:p w14:paraId="6154FAB5"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2.69</w:t>
            </w:r>
          </w:p>
        </w:tc>
      </w:tr>
      <w:tr w:rsidR="00FE4B6F" w:rsidRPr="00FE4B6F" w14:paraId="0E8EA816" w14:textId="77777777" w:rsidTr="00AA1BFE">
        <w:trPr>
          <w:trHeight w:val="280"/>
        </w:trPr>
        <w:tc>
          <w:tcPr>
            <w:tcW w:w="2560" w:type="dxa"/>
            <w:tcBorders>
              <w:top w:val="nil"/>
              <w:left w:val="single" w:sz="8" w:space="0" w:color="auto"/>
              <w:bottom w:val="single" w:sz="4" w:space="0" w:color="auto"/>
              <w:right w:val="nil"/>
            </w:tcBorders>
            <w:shd w:val="clear" w:color="000000" w:fill="DAEEF3"/>
            <w:noWrap/>
            <w:vAlign w:val="bottom"/>
            <w:hideMark/>
          </w:tcPr>
          <w:p w14:paraId="15C3F993" w14:textId="77777777" w:rsidR="00FE4B6F" w:rsidRPr="00FE4B6F" w:rsidRDefault="00FE4B6F" w:rsidP="00AA1BFE">
            <w:pPr>
              <w:rPr>
                <w:rFonts w:ascii="Arial" w:eastAsia="Times New Roman" w:hAnsi="Arial" w:cs="Arial"/>
                <w:b/>
                <w:bCs/>
                <w:i/>
                <w:iCs/>
                <w:color w:val="000000"/>
                <w:sz w:val="20"/>
                <w:szCs w:val="20"/>
              </w:rPr>
            </w:pPr>
            <w:proofErr w:type="spellStart"/>
            <w:r w:rsidRPr="00FE4B6F">
              <w:rPr>
                <w:rFonts w:ascii="Arial" w:eastAsia="Times New Roman" w:hAnsi="Arial" w:cs="Arial"/>
                <w:b/>
                <w:bCs/>
                <w:i/>
                <w:iCs/>
                <w:color w:val="000000"/>
                <w:sz w:val="20"/>
                <w:szCs w:val="20"/>
              </w:rPr>
              <w:t>Felsites</w:t>
            </w:r>
            <w:proofErr w:type="spellEnd"/>
            <w:r w:rsidRPr="00FE4B6F">
              <w:rPr>
                <w:rFonts w:ascii="Arial" w:eastAsia="Times New Roman" w:hAnsi="Arial" w:cs="Arial"/>
                <w:b/>
                <w:bCs/>
                <w:i/>
                <w:iCs/>
                <w:color w:val="000000"/>
                <w:sz w:val="20"/>
                <w:szCs w:val="20"/>
              </w:rPr>
              <w:t>: Total</w:t>
            </w:r>
          </w:p>
        </w:tc>
        <w:tc>
          <w:tcPr>
            <w:tcW w:w="1346" w:type="dxa"/>
            <w:tcBorders>
              <w:top w:val="nil"/>
              <w:left w:val="single" w:sz="8" w:space="0" w:color="auto"/>
              <w:bottom w:val="single" w:sz="4" w:space="0" w:color="auto"/>
              <w:right w:val="nil"/>
            </w:tcBorders>
            <w:shd w:val="clear" w:color="000000" w:fill="DAEEF3"/>
            <w:noWrap/>
            <w:vAlign w:val="bottom"/>
            <w:hideMark/>
          </w:tcPr>
          <w:p w14:paraId="1A4A3EA4"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1,430,441</w:t>
            </w:r>
          </w:p>
        </w:tc>
        <w:tc>
          <w:tcPr>
            <w:tcW w:w="1638" w:type="dxa"/>
            <w:tcBorders>
              <w:top w:val="nil"/>
              <w:left w:val="nil"/>
              <w:bottom w:val="single" w:sz="4" w:space="0" w:color="auto"/>
              <w:right w:val="nil"/>
            </w:tcBorders>
            <w:shd w:val="clear" w:color="000000" w:fill="DAEEF3"/>
            <w:noWrap/>
            <w:vAlign w:val="bottom"/>
            <w:hideMark/>
          </w:tcPr>
          <w:p w14:paraId="2D51E2EF"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2,220,844</w:t>
            </w:r>
          </w:p>
        </w:tc>
        <w:tc>
          <w:tcPr>
            <w:tcW w:w="1476" w:type="dxa"/>
            <w:tcBorders>
              <w:top w:val="nil"/>
              <w:left w:val="nil"/>
              <w:bottom w:val="single" w:sz="4" w:space="0" w:color="auto"/>
              <w:right w:val="nil"/>
            </w:tcBorders>
            <w:shd w:val="clear" w:color="000000" w:fill="DAEEF3"/>
            <w:noWrap/>
            <w:vAlign w:val="bottom"/>
            <w:hideMark/>
          </w:tcPr>
          <w:p w14:paraId="397BBDFF"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78,338</w:t>
            </w:r>
          </w:p>
        </w:tc>
        <w:tc>
          <w:tcPr>
            <w:tcW w:w="1500" w:type="dxa"/>
            <w:tcBorders>
              <w:top w:val="nil"/>
              <w:left w:val="nil"/>
              <w:bottom w:val="single" w:sz="4" w:space="0" w:color="auto"/>
              <w:right w:val="single" w:sz="8" w:space="0" w:color="auto"/>
            </w:tcBorders>
            <w:shd w:val="clear" w:color="000000" w:fill="DAEEF3"/>
            <w:noWrap/>
            <w:vAlign w:val="bottom"/>
            <w:hideMark/>
          </w:tcPr>
          <w:p w14:paraId="5B34AAF0"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1.55</w:t>
            </w:r>
          </w:p>
        </w:tc>
      </w:tr>
      <w:tr w:rsidR="00FE4B6F" w:rsidRPr="00FE4B6F" w14:paraId="7F9EFF54" w14:textId="77777777" w:rsidTr="00AA1BFE">
        <w:trPr>
          <w:trHeight w:val="300"/>
        </w:trPr>
        <w:tc>
          <w:tcPr>
            <w:tcW w:w="2560" w:type="dxa"/>
            <w:tcBorders>
              <w:top w:val="nil"/>
              <w:left w:val="single" w:sz="8" w:space="0" w:color="auto"/>
              <w:bottom w:val="single" w:sz="8" w:space="0" w:color="auto"/>
              <w:right w:val="nil"/>
            </w:tcBorders>
            <w:shd w:val="clear" w:color="000000" w:fill="FCD5B4"/>
            <w:noWrap/>
            <w:vAlign w:val="bottom"/>
            <w:hideMark/>
          </w:tcPr>
          <w:p w14:paraId="11D300E1" w14:textId="77777777" w:rsidR="00FE4B6F" w:rsidRPr="00FE4B6F" w:rsidRDefault="00FE4B6F" w:rsidP="00AA1BFE">
            <w:pPr>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 xml:space="preserve">Porphyries: Total </w:t>
            </w:r>
          </w:p>
        </w:tc>
        <w:tc>
          <w:tcPr>
            <w:tcW w:w="1346" w:type="dxa"/>
            <w:tcBorders>
              <w:top w:val="nil"/>
              <w:left w:val="single" w:sz="8" w:space="0" w:color="auto"/>
              <w:bottom w:val="single" w:sz="8" w:space="0" w:color="auto"/>
              <w:right w:val="nil"/>
            </w:tcBorders>
            <w:shd w:val="clear" w:color="000000" w:fill="FCD5B4"/>
            <w:noWrap/>
            <w:vAlign w:val="bottom"/>
            <w:hideMark/>
          </w:tcPr>
          <w:p w14:paraId="66D563A5"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3,964,162</w:t>
            </w:r>
          </w:p>
        </w:tc>
        <w:tc>
          <w:tcPr>
            <w:tcW w:w="1638" w:type="dxa"/>
            <w:tcBorders>
              <w:top w:val="nil"/>
              <w:left w:val="nil"/>
              <w:bottom w:val="single" w:sz="8" w:space="0" w:color="auto"/>
              <w:right w:val="nil"/>
            </w:tcBorders>
            <w:shd w:val="clear" w:color="000000" w:fill="FCD5B4"/>
            <w:noWrap/>
            <w:vAlign w:val="bottom"/>
            <w:hideMark/>
          </w:tcPr>
          <w:p w14:paraId="235C9BB7"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7,353,620</w:t>
            </w:r>
          </w:p>
        </w:tc>
        <w:tc>
          <w:tcPr>
            <w:tcW w:w="1476" w:type="dxa"/>
            <w:tcBorders>
              <w:top w:val="nil"/>
              <w:left w:val="nil"/>
              <w:bottom w:val="single" w:sz="8" w:space="0" w:color="auto"/>
              <w:right w:val="nil"/>
            </w:tcBorders>
            <w:shd w:val="clear" w:color="000000" w:fill="FCD5B4"/>
            <w:noWrap/>
            <w:vAlign w:val="bottom"/>
            <w:hideMark/>
          </w:tcPr>
          <w:p w14:paraId="32CE8F1A"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259,392</w:t>
            </w:r>
          </w:p>
        </w:tc>
        <w:tc>
          <w:tcPr>
            <w:tcW w:w="1500" w:type="dxa"/>
            <w:tcBorders>
              <w:top w:val="nil"/>
              <w:left w:val="nil"/>
              <w:bottom w:val="single" w:sz="8" w:space="0" w:color="auto"/>
              <w:right w:val="single" w:sz="8" w:space="0" w:color="auto"/>
            </w:tcBorders>
            <w:shd w:val="clear" w:color="000000" w:fill="FCD5B4"/>
            <w:noWrap/>
            <w:vAlign w:val="bottom"/>
            <w:hideMark/>
          </w:tcPr>
          <w:p w14:paraId="3954A732"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1.86</w:t>
            </w:r>
          </w:p>
        </w:tc>
      </w:tr>
      <w:tr w:rsidR="00FE4B6F" w:rsidRPr="00FE4B6F" w14:paraId="27FB1317" w14:textId="77777777" w:rsidTr="00AA1BFE">
        <w:trPr>
          <w:trHeight w:val="300"/>
        </w:trPr>
        <w:tc>
          <w:tcPr>
            <w:tcW w:w="2560" w:type="dxa"/>
            <w:tcBorders>
              <w:top w:val="nil"/>
              <w:left w:val="nil"/>
              <w:bottom w:val="nil"/>
              <w:right w:val="nil"/>
            </w:tcBorders>
            <w:shd w:val="clear" w:color="auto" w:fill="auto"/>
            <w:noWrap/>
            <w:vAlign w:val="bottom"/>
            <w:hideMark/>
          </w:tcPr>
          <w:p w14:paraId="11B63560" w14:textId="77777777" w:rsidR="00FE4B6F" w:rsidRPr="00FE4B6F" w:rsidRDefault="00FE4B6F" w:rsidP="00AA1BFE">
            <w:pPr>
              <w:rPr>
                <w:rFonts w:ascii="Arial" w:eastAsia="Times New Roman" w:hAnsi="Arial" w:cs="Arial"/>
                <w:color w:val="000000"/>
                <w:sz w:val="20"/>
                <w:szCs w:val="20"/>
              </w:rPr>
            </w:pPr>
          </w:p>
        </w:tc>
        <w:tc>
          <w:tcPr>
            <w:tcW w:w="1346" w:type="dxa"/>
            <w:tcBorders>
              <w:top w:val="nil"/>
              <w:left w:val="nil"/>
              <w:bottom w:val="nil"/>
              <w:right w:val="nil"/>
            </w:tcBorders>
            <w:shd w:val="clear" w:color="auto" w:fill="auto"/>
            <w:noWrap/>
            <w:vAlign w:val="bottom"/>
            <w:hideMark/>
          </w:tcPr>
          <w:p w14:paraId="162A6118" w14:textId="77777777" w:rsidR="00FE4B6F" w:rsidRPr="00FE4B6F" w:rsidRDefault="00FE4B6F" w:rsidP="00AA1BFE">
            <w:pPr>
              <w:rPr>
                <w:rFonts w:ascii="Arial" w:eastAsia="Times New Roman" w:hAnsi="Arial" w:cs="Arial"/>
                <w:color w:val="000000"/>
                <w:sz w:val="20"/>
                <w:szCs w:val="20"/>
              </w:rPr>
            </w:pPr>
          </w:p>
        </w:tc>
        <w:tc>
          <w:tcPr>
            <w:tcW w:w="1638" w:type="dxa"/>
            <w:tcBorders>
              <w:top w:val="nil"/>
              <w:left w:val="nil"/>
              <w:bottom w:val="nil"/>
              <w:right w:val="nil"/>
            </w:tcBorders>
            <w:shd w:val="clear" w:color="auto" w:fill="auto"/>
            <w:noWrap/>
            <w:vAlign w:val="bottom"/>
            <w:hideMark/>
          </w:tcPr>
          <w:p w14:paraId="72DB988D" w14:textId="77777777" w:rsidR="00FE4B6F" w:rsidRPr="00FE4B6F" w:rsidRDefault="00FE4B6F" w:rsidP="00AA1BFE">
            <w:pPr>
              <w:rPr>
                <w:rFonts w:ascii="Arial" w:eastAsia="Times New Roman" w:hAnsi="Arial" w:cs="Arial"/>
                <w:color w:val="000000"/>
                <w:sz w:val="20"/>
                <w:szCs w:val="20"/>
              </w:rPr>
            </w:pPr>
          </w:p>
        </w:tc>
        <w:tc>
          <w:tcPr>
            <w:tcW w:w="1476" w:type="dxa"/>
            <w:tcBorders>
              <w:top w:val="nil"/>
              <w:left w:val="nil"/>
              <w:bottom w:val="nil"/>
              <w:right w:val="nil"/>
            </w:tcBorders>
            <w:shd w:val="clear" w:color="auto" w:fill="auto"/>
            <w:noWrap/>
            <w:vAlign w:val="bottom"/>
            <w:hideMark/>
          </w:tcPr>
          <w:p w14:paraId="6D785A52" w14:textId="77777777" w:rsidR="00FE4B6F" w:rsidRPr="00FE4B6F" w:rsidRDefault="00FE4B6F" w:rsidP="00AA1BFE">
            <w:pPr>
              <w:rPr>
                <w:rFonts w:ascii="Arial" w:eastAsia="Times New Roman" w:hAnsi="Arial" w:cs="Arial"/>
                <w:color w:val="000000"/>
                <w:sz w:val="20"/>
                <w:szCs w:val="20"/>
              </w:rPr>
            </w:pPr>
          </w:p>
        </w:tc>
        <w:tc>
          <w:tcPr>
            <w:tcW w:w="1500" w:type="dxa"/>
            <w:tcBorders>
              <w:top w:val="nil"/>
              <w:left w:val="nil"/>
              <w:bottom w:val="nil"/>
              <w:right w:val="nil"/>
            </w:tcBorders>
            <w:shd w:val="clear" w:color="auto" w:fill="auto"/>
            <w:noWrap/>
            <w:vAlign w:val="bottom"/>
            <w:hideMark/>
          </w:tcPr>
          <w:p w14:paraId="3D2DFACB" w14:textId="77777777" w:rsidR="00FE4B6F" w:rsidRPr="00FE4B6F" w:rsidRDefault="00FE4B6F" w:rsidP="00AA1BFE">
            <w:pPr>
              <w:rPr>
                <w:rFonts w:ascii="Arial" w:eastAsia="Times New Roman" w:hAnsi="Arial" w:cs="Arial"/>
                <w:color w:val="000000"/>
                <w:sz w:val="20"/>
                <w:szCs w:val="20"/>
              </w:rPr>
            </w:pPr>
          </w:p>
        </w:tc>
      </w:tr>
      <w:tr w:rsidR="00FE4B6F" w:rsidRPr="00FE4B6F" w14:paraId="7B41155C" w14:textId="77777777" w:rsidTr="00AA1BFE">
        <w:trPr>
          <w:trHeight w:val="300"/>
        </w:trPr>
        <w:tc>
          <w:tcPr>
            <w:tcW w:w="2560" w:type="dxa"/>
            <w:tcBorders>
              <w:top w:val="nil"/>
              <w:left w:val="nil"/>
              <w:bottom w:val="nil"/>
              <w:right w:val="nil"/>
            </w:tcBorders>
            <w:shd w:val="clear" w:color="auto" w:fill="auto"/>
            <w:noWrap/>
            <w:vAlign w:val="bottom"/>
            <w:hideMark/>
          </w:tcPr>
          <w:p w14:paraId="66182EEC" w14:textId="77777777" w:rsidR="00FE4B6F" w:rsidRPr="00FE4B6F" w:rsidRDefault="00FE4B6F" w:rsidP="00AA1BFE">
            <w:pPr>
              <w:rPr>
                <w:rFonts w:ascii="Arial" w:eastAsia="Times New Roman" w:hAnsi="Arial" w:cs="Arial"/>
                <w:color w:val="000000"/>
                <w:sz w:val="20"/>
                <w:szCs w:val="20"/>
              </w:rPr>
            </w:pPr>
          </w:p>
        </w:tc>
        <w:tc>
          <w:tcPr>
            <w:tcW w:w="59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CCFE35" w14:textId="77777777" w:rsidR="00FE4B6F" w:rsidRPr="00FE4B6F" w:rsidRDefault="00FE4B6F" w:rsidP="00AA1BFE">
            <w:pPr>
              <w:jc w:val="center"/>
              <w:rPr>
                <w:rFonts w:ascii="Arial" w:eastAsia="Times New Roman" w:hAnsi="Arial" w:cs="Arial"/>
                <w:b/>
                <w:bCs/>
                <w:color w:val="FF0000"/>
                <w:sz w:val="20"/>
                <w:szCs w:val="20"/>
              </w:rPr>
            </w:pPr>
            <w:r w:rsidRPr="00FE4B6F">
              <w:rPr>
                <w:rFonts w:ascii="Arial" w:eastAsia="Times New Roman" w:hAnsi="Arial" w:cs="Arial"/>
                <w:b/>
                <w:bCs/>
                <w:color w:val="FF0000"/>
                <w:sz w:val="20"/>
                <w:szCs w:val="20"/>
              </w:rPr>
              <w:t>Totals</w:t>
            </w:r>
          </w:p>
        </w:tc>
      </w:tr>
      <w:tr w:rsidR="00FE4B6F" w:rsidRPr="00FE4B6F" w14:paraId="5F55A78B" w14:textId="77777777" w:rsidTr="00AA1BFE">
        <w:trPr>
          <w:trHeight w:val="300"/>
        </w:trPr>
        <w:tc>
          <w:tcPr>
            <w:tcW w:w="2560" w:type="dxa"/>
            <w:tcBorders>
              <w:top w:val="single" w:sz="8" w:space="0" w:color="auto"/>
              <w:left w:val="single" w:sz="8" w:space="0" w:color="auto"/>
              <w:bottom w:val="single" w:sz="8" w:space="0" w:color="auto"/>
              <w:right w:val="nil"/>
            </w:tcBorders>
            <w:shd w:val="clear" w:color="000000" w:fill="FFFF00"/>
            <w:noWrap/>
            <w:vAlign w:val="bottom"/>
            <w:hideMark/>
          </w:tcPr>
          <w:p w14:paraId="0ADD7006" w14:textId="77777777" w:rsidR="00FE4B6F" w:rsidRPr="00FE4B6F" w:rsidRDefault="00FE4B6F" w:rsidP="00AA1BFE">
            <w:pPr>
              <w:rPr>
                <w:rFonts w:ascii="Arial" w:eastAsia="Times New Roman" w:hAnsi="Arial" w:cs="Arial"/>
                <w:b/>
                <w:bCs/>
                <w:i/>
                <w:iCs/>
                <w:color w:val="000000"/>
                <w:sz w:val="20"/>
                <w:szCs w:val="20"/>
              </w:rPr>
            </w:pPr>
            <w:proofErr w:type="spellStart"/>
            <w:r w:rsidRPr="00FE4B6F">
              <w:rPr>
                <w:rFonts w:ascii="Arial" w:eastAsia="Times New Roman" w:hAnsi="Arial" w:cs="Arial"/>
                <w:b/>
                <w:bCs/>
                <w:i/>
                <w:iCs/>
                <w:color w:val="000000"/>
                <w:sz w:val="20"/>
                <w:szCs w:val="20"/>
              </w:rPr>
              <w:t>Parbec</w:t>
            </w:r>
            <w:proofErr w:type="spellEnd"/>
            <w:r w:rsidRPr="00FE4B6F">
              <w:rPr>
                <w:rFonts w:ascii="Arial" w:eastAsia="Times New Roman" w:hAnsi="Arial" w:cs="Arial"/>
                <w:b/>
                <w:bCs/>
                <w:i/>
                <w:iCs/>
                <w:color w:val="000000"/>
                <w:sz w:val="20"/>
                <w:szCs w:val="20"/>
              </w:rPr>
              <w:t xml:space="preserve"> Total Indicated</w:t>
            </w:r>
          </w:p>
        </w:tc>
        <w:tc>
          <w:tcPr>
            <w:tcW w:w="1346" w:type="dxa"/>
            <w:tcBorders>
              <w:top w:val="nil"/>
              <w:left w:val="single" w:sz="8" w:space="0" w:color="auto"/>
              <w:bottom w:val="single" w:sz="8" w:space="0" w:color="auto"/>
              <w:right w:val="nil"/>
            </w:tcBorders>
            <w:shd w:val="clear" w:color="000000" w:fill="FFFF00"/>
            <w:noWrap/>
            <w:vAlign w:val="bottom"/>
            <w:hideMark/>
          </w:tcPr>
          <w:p w14:paraId="6C1F448F"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263,230</w:t>
            </w:r>
          </w:p>
        </w:tc>
        <w:tc>
          <w:tcPr>
            <w:tcW w:w="1638" w:type="dxa"/>
            <w:tcBorders>
              <w:top w:val="nil"/>
              <w:left w:val="nil"/>
              <w:bottom w:val="single" w:sz="8" w:space="0" w:color="auto"/>
              <w:right w:val="nil"/>
            </w:tcBorders>
            <w:shd w:val="clear" w:color="000000" w:fill="FFFF00"/>
            <w:noWrap/>
            <w:vAlign w:val="bottom"/>
            <w:hideMark/>
          </w:tcPr>
          <w:p w14:paraId="06960C80"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952,317</w:t>
            </w:r>
          </w:p>
        </w:tc>
        <w:tc>
          <w:tcPr>
            <w:tcW w:w="1476" w:type="dxa"/>
            <w:tcBorders>
              <w:top w:val="nil"/>
              <w:left w:val="nil"/>
              <w:bottom w:val="single" w:sz="8" w:space="0" w:color="auto"/>
              <w:right w:val="nil"/>
            </w:tcBorders>
            <w:shd w:val="clear" w:color="000000" w:fill="FFFF00"/>
            <w:noWrap/>
            <w:vAlign w:val="bottom"/>
            <w:hideMark/>
          </w:tcPr>
          <w:p w14:paraId="456A495D"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33,592</w:t>
            </w:r>
          </w:p>
        </w:tc>
        <w:tc>
          <w:tcPr>
            <w:tcW w:w="1500" w:type="dxa"/>
            <w:tcBorders>
              <w:top w:val="nil"/>
              <w:left w:val="nil"/>
              <w:bottom w:val="single" w:sz="8" w:space="0" w:color="auto"/>
              <w:right w:val="single" w:sz="8" w:space="0" w:color="auto"/>
            </w:tcBorders>
            <w:shd w:val="clear" w:color="000000" w:fill="FFFF00"/>
            <w:noWrap/>
            <w:vAlign w:val="bottom"/>
            <w:hideMark/>
          </w:tcPr>
          <w:p w14:paraId="198D5DD6"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3.62</w:t>
            </w:r>
          </w:p>
        </w:tc>
      </w:tr>
      <w:tr w:rsidR="00FE4B6F" w:rsidRPr="00FE4B6F" w14:paraId="06857021" w14:textId="77777777" w:rsidTr="00AA1BFE">
        <w:trPr>
          <w:trHeight w:val="300"/>
        </w:trPr>
        <w:tc>
          <w:tcPr>
            <w:tcW w:w="2560" w:type="dxa"/>
            <w:tcBorders>
              <w:top w:val="nil"/>
              <w:left w:val="single" w:sz="8" w:space="0" w:color="auto"/>
              <w:bottom w:val="single" w:sz="8" w:space="0" w:color="auto"/>
              <w:right w:val="single" w:sz="8" w:space="0" w:color="auto"/>
            </w:tcBorders>
            <w:shd w:val="clear" w:color="000000" w:fill="FFFF00"/>
            <w:noWrap/>
            <w:vAlign w:val="bottom"/>
            <w:hideMark/>
          </w:tcPr>
          <w:p w14:paraId="7409604D" w14:textId="77777777" w:rsidR="00FE4B6F" w:rsidRPr="00FE4B6F" w:rsidRDefault="00FE4B6F" w:rsidP="00AA1BFE">
            <w:pPr>
              <w:rPr>
                <w:rFonts w:ascii="Arial" w:eastAsia="Times New Roman" w:hAnsi="Arial" w:cs="Arial"/>
                <w:b/>
                <w:bCs/>
                <w:i/>
                <w:iCs/>
                <w:color w:val="000000"/>
                <w:sz w:val="20"/>
                <w:szCs w:val="20"/>
              </w:rPr>
            </w:pPr>
            <w:proofErr w:type="spellStart"/>
            <w:r w:rsidRPr="00FE4B6F">
              <w:rPr>
                <w:rFonts w:ascii="Arial" w:eastAsia="Times New Roman" w:hAnsi="Arial" w:cs="Arial"/>
                <w:b/>
                <w:bCs/>
                <w:i/>
                <w:iCs/>
                <w:color w:val="000000"/>
                <w:sz w:val="20"/>
                <w:szCs w:val="20"/>
              </w:rPr>
              <w:t>Parbec</w:t>
            </w:r>
            <w:proofErr w:type="spellEnd"/>
            <w:r w:rsidRPr="00FE4B6F">
              <w:rPr>
                <w:rFonts w:ascii="Arial" w:eastAsia="Times New Roman" w:hAnsi="Arial" w:cs="Arial"/>
                <w:b/>
                <w:bCs/>
                <w:i/>
                <w:iCs/>
                <w:color w:val="000000"/>
                <w:sz w:val="20"/>
                <w:szCs w:val="20"/>
              </w:rPr>
              <w:t xml:space="preserve"> Total Inferred</w:t>
            </w:r>
          </w:p>
        </w:tc>
        <w:tc>
          <w:tcPr>
            <w:tcW w:w="1346" w:type="dxa"/>
            <w:tcBorders>
              <w:top w:val="nil"/>
              <w:left w:val="nil"/>
              <w:bottom w:val="single" w:sz="8" w:space="0" w:color="auto"/>
              <w:right w:val="nil"/>
            </w:tcBorders>
            <w:shd w:val="clear" w:color="000000" w:fill="FFFF00"/>
            <w:noWrap/>
            <w:vAlign w:val="bottom"/>
            <w:hideMark/>
          </w:tcPr>
          <w:p w14:paraId="26C05DE3"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7,256,872</w:t>
            </w:r>
          </w:p>
        </w:tc>
        <w:tc>
          <w:tcPr>
            <w:tcW w:w="1638" w:type="dxa"/>
            <w:tcBorders>
              <w:top w:val="nil"/>
              <w:left w:val="nil"/>
              <w:bottom w:val="single" w:sz="8" w:space="0" w:color="auto"/>
              <w:right w:val="nil"/>
            </w:tcBorders>
            <w:shd w:val="clear" w:color="000000" w:fill="FFFF00"/>
            <w:noWrap/>
            <w:vAlign w:val="bottom"/>
            <w:hideMark/>
          </w:tcPr>
          <w:p w14:paraId="3CDEA74E"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14,574,700</w:t>
            </w:r>
          </w:p>
        </w:tc>
        <w:tc>
          <w:tcPr>
            <w:tcW w:w="1476" w:type="dxa"/>
            <w:tcBorders>
              <w:top w:val="nil"/>
              <w:left w:val="nil"/>
              <w:bottom w:val="single" w:sz="8" w:space="0" w:color="auto"/>
              <w:right w:val="nil"/>
            </w:tcBorders>
            <w:shd w:val="clear" w:color="000000" w:fill="FFFF00"/>
            <w:noWrap/>
            <w:vAlign w:val="bottom"/>
            <w:hideMark/>
          </w:tcPr>
          <w:p w14:paraId="44C52D02"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514,108</w:t>
            </w:r>
          </w:p>
        </w:tc>
        <w:tc>
          <w:tcPr>
            <w:tcW w:w="1500" w:type="dxa"/>
            <w:tcBorders>
              <w:top w:val="nil"/>
              <w:left w:val="nil"/>
              <w:bottom w:val="single" w:sz="8" w:space="0" w:color="auto"/>
              <w:right w:val="single" w:sz="8" w:space="0" w:color="auto"/>
            </w:tcBorders>
            <w:shd w:val="clear" w:color="000000" w:fill="FFFF00"/>
            <w:noWrap/>
            <w:vAlign w:val="bottom"/>
            <w:hideMark/>
          </w:tcPr>
          <w:p w14:paraId="5B5C7F1D" w14:textId="77777777" w:rsidR="00FE4B6F" w:rsidRPr="00FE4B6F" w:rsidRDefault="00FE4B6F" w:rsidP="00AA1BFE">
            <w:pPr>
              <w:jc w:val="right"/>
              <w:rPr>
                <w:rFonts w:ascii="Arial" w:eastAsia="Times New Roman" w:hAnsi="Arial" w:cs="Arial"/>
                <w:b/>
                <w:bCs/>
                <w:i/>
                <w:iCs/>
                <w:color w:val="000000"/>
                <w:sz w:val="20"/>
                <w:szCs w:val="20"/>
              </w:rPr>
            </w:pPr>
            <w:r w:rsidRPr="00FE4B6F">
              <w:rPr>
                <w:rFonts w:ascii="Arial" w:eastAsia="Times New Roman" w:hAnsi="Arial" w:cs="Arial"/>
                <w:b/>
                <w:bCs/>
                <w:i/>
                <w:iCs/>
                <w:color w:val="000000"/>
                <w:sz w:val="20"/>
                <w:szCs w:val="20"/>
              </w:rPr>
              <w:t>2.01</w:t>
            </w:r>
          </w:p>
        </w:tc>
      </w:tr>
    </w:tbl>
    <w:p w14:paraId="482B4761" w14:textId="77777777" w:rsidR="00FE4B6F" w:rsidRPr="00FE4B6F" w:rsidRDefault="00FE4B6F" w:rsidP="00FE4B6F">
      <w:pPr>
        <w:pStyle w:val="ListParagraph"/>
        <w:numPr>
          <w:ilvl w:val="0"/>
          <w:numId w:val="3"/>
        </w:numPr>
        <w:jc w:val="both"/>
        <w:rPr>
          <w:rFonts w:ascii="Arial" w:hAnsi="Arial" w:cs="Arial"/>
          <w:sz w:val="20"/>
          <w:szCs w:val="20"/>
        </w:rPr>
      </w:pPr>
      <w:r w:rsidRPr="00FE4B6F">
        <w:rPr>
          <w:rFonts w:ascii="Arial" w:hAnsi="Arial" w:cs="Arial"/>
          <w:sz w:val="20"/>
          <w:szCs w:val="20"/>
        </w:rPr>
        <w:t>Mineral resources which are not mineral reserves do not have demonstrated economic viability. The estimate of mineral resources may be materially affected by environmental, permitting, legal, title, taxation, socio-political, marketing, or other relevant issues.</w:t>
      </w:r>
    </w:p>
    <w:p w14:paraId="3F5E2037" w14:textId="77777777" w:rsidR="00FE4B6F" w:rsidRPr="00FE4B6F" w:rsidRDefault="00FE4B6F" w:rsidP="00FE4B6F">
      <w:pPr>
        <w:pStyle w:val="ListParagraph"/>
        <w:numPr>
          <w:ilvl w:val="0"/>
          <w:numId w:val="3"/>
        </w:numPr>
        <w:jc w:val="both"/>
        <w:rPr>
          <w:rFonts w:ascii="Arial" w:hAnsi="Arial" w:cs="Arial"/>
          <w:sz w:val="20"/>
          <w:szCs w:val="20"/>
        </w:rPr>
      </w:pPr>
      <w:r w:rsidRPr="00FE4B6F">
        <w:rPr>
          <w:rFonts w:ascii="Arial" w:hAnsi="Arial" w:cs="Arial"/>
          <w:sz w:val="20"/>
          <w:szCs w:val="20"/>
        </w:rPr>
        <w:t>The quantity and grade of reported Inferred resources in this estimation are uncertain in nature and there has been insufficient exploration to define these Inferred resources as an Indicated or Measured Mineral Resource and it is uncertain if further exploration will result in upgrading them to an Indicated or Measured mineral resource category.</w:t>
      </w:r>
    </w:p>
    <w:p w14:paraId="1906BEDE" w14:textId="77777777" w:rsidR="00FE4B6F" w:rsidRPr="00FE4B6F" w:rsidRDefault="00FE4B6F" w:rsidP="00FE4B6F">
      <w:pPr>
        <w:pStyle w:val="ListParagraph"/>
        <w:numPr>
          <w:ilvl w:val="0"/>
          <w:numId w:val="3"/>
        </w:numPr>
        <w:jc w:val="both"/>
        <w:rPr>
          <w:rFonts w:ascii="Arial" w:hAnsi="Arial" w:cs="Arial"/>
          <w:sz w:val="20"/>
          <w:szCs w:val="20"/>
        </w:rPr>
      </w:pPr>
      <w:r w:rsidRPr="00FE4B6F">
        <w:rPr>
          <w:rFonts w:ascii="Arial" w:hAnsi="Arial" w:cs="Arial"/>
          <w:sz w:val="20"/>
          <w:szCs w:val="20"/>
        </w:rPr>
        <w:t>The mineral resources in this report were estimated using the Canadian Institute of Mining, Metallurgy and Petroleum (CIM), Standards on Mineral Resources and Reserves, Definitions and Guidelines prepared by the CIM Standing Committee on Reserve Definitions and adopted by CIM Council.</w:t>
      </w:r>
    </w:p>
    <w:p w14:paraId="32D4F8CE" w14:textId="77777777" w:rsidR="00FE4B6F" w:rsidRPr="00FE4B6F" w:rsidRDefault="00FE4B6F" w:rsidP="00FE4B6F">
      <w:pPr>
        <w:pStyle w:val="ListParagraph"/>
        <w:numPr>
          <w:ilvl w:val="0"/>
          <w:numId w:val="3"/>
        </w:numPr>
        <w:jc w:val="both"/>
        <w:rPr>
          <w:rFonts w:ascii="Arial" w:hAnsi="Arial" w:cs="Arial"/>
          <w:sz w:val="20"/>
          <w:szCs w:val="20"/>
        </w:rPr>
      </w:pPr>
      <w:r w:rsidRPr="00FE4B6F">
        <w:rPr>
          <w:rFonts w:ascii="Arial" w:hAnsi="Arial" w:cs="Arial"/>
          <w:sz w:val="20"/>
          <w:szCs w:val="20"/>
        </w:rPr>
        <w:t>A cut-off value of 0.5 g/t Au was used in the preparation of this resource</w:t>
      </w:r>
    </w:p>
    <w:p w14:paraId="2F59CC7B" w14:textId="77777777" w:rsidR="00FE4B6F" w:rsidRPr="00FE4B6F" w:rsidRDefault="00FE4B6F" w:rsidP="00FE4B6F">
      <w:pPr>
        <w:jc w:val="both"/>
        <w:rPr>
          <w:rFonts w:ascii="Arial" w:hAnsi="Arial" w:cs="Arial"/>
          <w:sz w:val="20"/>
          <w:szCs w:val="20"/>
        </w:rPr>
      </w:pPr>
    </w:p>
    <w:p w14:paraId="230655C4" w14:textId="77777777" w:rsidR="00FE4B6F" w:rsidRPr="00FE4B6F" w:rsidRDefault="00FE4B6F" w:rsidP="00FE4B6F">
      <w:pPr>
        <w:jc w:val="both"/>
        <w:rPr>
          <w:rFonts w:ascii="Arial" w:hAnsi="Arial" w:cs="Arial"/>
          <w:sz w:val="20"/>
          <w:szCs w:val="20"/>
        </w:rPr>
      </w:pPr>
      <w:r w:rsidRPr="00FE4B6F">
        <w:rPr>
          <w:rFonts w:ascii="Arial" w:hAnsi="Arial" w:cs="Arial"/>
          <w:sz w:val="20"/>
          <w:szCs w:val="20"/>
        </w:rPr>
        <w:t xml:space="preserve">“We could not be more pleased with our release of an initial resource at </w:t>
      </w:r>
      <w:proofErr w:type="spellStart"/>
      <w:r w:rsidRPr="00FE4B6F">
        <w:rPr>
          <w:rFonts w:ascii="Arial" w:hAnsi="Arial" w:cs="Arial"/>
          <w:sz w:val="20"/>
          <w:szCs w:val="20"/>
        </w:rPr>
        <w:t>Parbec</w:t>
      </w:r>
      <w:proofErr w:type="spellEnd"/>
      <w:r w:rsidRPr="00FE4B6F">
        <w:rPr>
          <w:rFonts w:ascii="Arial" w:hAnsi="Arial" w:cs="Arial"/>
          <w:sz w:val="20"/>
          <w:szCs w:val="20"/>
        </w:rPr>
        <w:t xml:space="preserve">, we look forward to our future exploration goals which include dewatering the ramp, as well as drill testing targets which detailed modelling has identified.  Continuity of mineralization is demonstrated along approximately 75% of the Cadillac Break on the property but we have not fully defined the quantity of gold within that area.  We look forward to future exploration and drilling, funding permitting, adding more value to </w:t>
      </w:r>
      <w:proofErr w:type="spellStart"/>
      <w:r w:rsidRPr="00FE4B6F">
        <w:rPr>
          <w:rFonts w:ascii="Arial" w:hAnsi="Arial" w:cs="Arial"/>
          <w:sz w:val="20"/>
          <w:szCs w:val="20"/>
        </w:rPr>
        <w:t>Parbec</w:t>
      </w:r>
      <w:proofErr w:type="spellEnd"/>
      <w:r w:rsidRPr="00FE4B6F">
        <w:rPr>
          <w:rFonts w:ascii="Arial" w:hAnsi="Arial" w:cs="Arial"/>
          <w:sz w:val="20"/>
          <w:szCs w:val="20"/>
        </w:rPr>
        <w:t>.” states Nicole Brewster, President and CEO of Renforth.</w:t>
      </w:r>
    </w:p>
    <w:p w14:paraId="4514F3D4" w14:textId="77777777" w:rsidR="00FE4B6F" w:rsidRPr="00FE4B6F" w:rsidRDefault="00FE4B6F" w:rsidP="00FE4B6F">
      <w:pPr>
        <w:rPr>
          <w:rFonts w:ascii="Arial" w:hAnsi="Arial" w:cs="Arial"/>
          <w:sz w:val="20"/>
          <w:szCs w:val="20"/>
        </w:rPr>
      </w:pPr>
    </w:p>
    <w:p w14:paraId="4FDAEBA0" w14:textId="77777777" w:rsidR="00FE4B6F" w:rsidRPr="00FE4B6F" w:rsidRDefault="00FE4B6F" w:rsidP="00FE4B6F">
      <w:pPr>
        <w:rPr>
          <w:rFonts w:ascii="Arial" w:hAnsi="Arial" w:cs="Arial"/>
          <w:b/>
          <w:sz w:val="20"/>
          <w:szCs w:val="20"/>
        </w:rPr>
      </w:pPr>
      <w:proofErr w:type="spellStart"/>
      <w:r w:rsidRPr="00FE4B6F">
        <w:rPr>
          <w:rFonts w:ascii="Arial" w:hAnsi="Arial" w:cs="Arial"/>
          <w:b/>
          <w:sz w:val="20"/>
          <w:szCs w:val="20"/>
        </w:rPr>
        <w:t>Parbec</w:t>
      </w:r>
      <w:proofErr w:type="spellEnd"/>
      <w:r w:rsidRPr="00FE4B6F">
        <w:rPr>
          <w:rFonts w:ascii="Arial" w:hAnsi="Arial" w:cs="Arial"/>
          <w:b/>
          <w:sz w:val="20"/>
          <w:szCs w:val="20"/>
        </w:rPr>
        <w:t xml:space="preserve"> Mineralization</w:t>
      </w:r>
    </w:p>
    <w:p w14:paraId="1C8E2A46" w14:textId="77777777" w:rsidR="00FE4B6F" w:rsidRPr="00FE4B6F" w:rsidRDefault="00FE4B6F" w:rsidP="00FE4B6F">
      <w:pPr>
        <w:rPr>
          <w:rFonts w:ascii="Arial" w:hAnsi="Arial" w:cs="Arial"/>
          <w:b/>
          <w:sz w:val="20"/>
          <w:szCs w:val="20"/>
        </w:rPr>
      </w:pPr>
    </w:p>
    <w:p w14:paraId="14F88E68" w14:textId="77777777" w:rsidR="00FE4B6F" w:rsidRPr="00FE4B6F" w:rsidRDefault="00FE4B6F" w:rsidP="00FE4B6F">
      <w:pPr>
        <w:widowControl w:val="0"/>
        <w:autoSpaceDE w:val="0"/>
        <w:autoSpaceDN w:val="0"/>
        <w:adjustRightInd w:val="0"/>
        <w:jc w:val="both"/>
        <w:rPr>
          <w:rFonts w:ascii="Arial" w:hAnsi="Arial" w:cs="Arial"/>
          <w:sz w:val="20"/>
          <w:szCs w:val="20"/>
        </w:rPr>
      </w:pPr>
      <w:r w:rsidRPr="00FE4B6F">
        <w:rPr>
          <w:rFonts w:ascii="Arial" w:hAnsi="Arial" w:cs="Arial"/>
          <w:sz w:val="20"/>
          <w:szCs w:val="20"/>
        </w:rPr>
        <w:t xml:space="preserve">There are three types of mineralization identified at </w:t>
      </w:r>
      <w:proofErr w:type="spellStart"/>
      <w:r w:rsidRPr="00FE4B6F">
        <w:rPr>
          <w:rFonts w:ascii="Arial" w:hAnsi="Arial" w:cs="Arial"/>
          <w:sz w:val="20"/>
          <w:szCs w:val="20"/>
        </w:rPr>
        <w:t>Parbec</w:t>
      </w:r>
      <w:proofErr w:type="spellEnd"/>
      <w:r w:rsidRPr="00FE4B6F">
        <w:rPr>
          <w:rFonts w:ascii="Arial" w:hAnsi="Arial" w:cs="Arial"/>
          <w:sz w:val="20"/>
          <w:szCs w:val="20"/>
        </w:rPr>
        <w:t xml:space="preserve"> and occurring within the resource area;</w:t>
      </w:r>
    </w:p>
    <w:p w14:paraId="1E7BF07E" w14:textId="77777777" w:rsidR="00FE4B6F" w:rsidRPr="00FE4B6F" w:rsidRDefault="00FE4B6F" w:rsidP="00FE4B6F">
      <w:pPr>
        <w:pStyle w:val="ListParagraph"/>
        <w:widowControl w:val="0"/>
        <w:numPr>
          <w:ilvl w:val="0"/>
          <w:numId w:val="4"/>
        </w:numPr>
        <w:autoSpaceDE w:val="0"/>
        <w:autoSpaceDN w:val="0"/>
        <w:adjustRightInd w:val="0"/>
        <w:jc w:val="both"/>
        <w:rPr>
          <w:rFonts w:ascii="Arial" w:hAnsi="Arial" w:cs="Arial"/>
          <w:sz w:val="20"/>
          <w:szCs w:val="20"/>
        </w:rPr>
      </w:pPr>
      <w:proofErr w:type="gramStart"/>
      <w:r w:rsidRPr="00FE4B6F">
        <w:rPr>
          <w:rFonts w:ascii="Arial" w:hAnsi="Arial" w:cs="Arial"/>
          <w:sz w:val="20"/>
          <w:szCs w:val="20"/>
        </w:rPr>
        <w:t>along</w:t>
      </w:r>
      <w:proofErr w:type="gramEnd"/>
      <w:r w:rsidRPr="00FE4B6F">
        <w:rPr>
          <w:rFonts w:ascii="Arial" w:hAnsi="Arial" w:cs="Arial"/>
          <w:sz w:val="20"/>
          <w:szCs w:val="20"/>
        </w:rPr>
        <w:t xml:space="preserve"> the northern contact of the break lie the 'Tuffs'. These are essentially biotite altered </w:t>
      </w:r>
      <w:proofErr w:type="spellStart"/>
      <w:r w:rsidRPr="00FE4B6F">
        <w:rPr>
          <w:rFonts w:ascii="Arial" w:hAnsi="Arial" w:cs="Arial"/>
          <w:sz w:val="20"/>
          <w:szCs w:val="20"/>
        </w:rPr>
        <w:t>sericitized</w:t>
      </w:r>
      <w:proofErr w:type="spellEnd"/>
      <w:r w:rsidRPr="00FE4B6F">
        <w:rPr>
          <w:rFonts w:ascii="Arial" w:hAnsi="Arial" w:cs="Arial"/>
          <w:sz w:val="20"/>
          <w:szCs w:val="20"/>
        </w:rPr>
        <w:t xml:space="preserve"> </w:t>
      </w:r>
      <w:proofErr w:type="spellStart"/>
      <w:r w:rsidRPr="00FE4B6F">
        <w:rPr>
          <w:rFonts w:ascii="Arial" w:hAnsi="Arial" w:cs="Arial"/>
          <w:sz w:val="20"/>
          <w:szCs w:val="20"/>
        </w:rPr>
        <w:t>volcanics</w:t>
      </w:r>
      <w:proofErr w:type="spellEnd"/>
      <w:r w:rsidRPr="00FE4B6F">
        <w:rPr>
          <w:rFonts w:ascii="Arial" w:hAnsi="Arial" w:cs="Arial"/>
          <w:sz w:val="20"/>
          <w:szCs w:val="20"/>
        </w:rPr>
        <w:t xml:space="preserve"> which include units with some inherent </w:t>
      </w:r>
      <w:proofErr w:type="spellStart"/>
      <w:r w:rsidRPr="00FE4B6F">
        <w:rPr>
          <w:rFonts w:ascii="Arial" w:hAnsi="Arial" w:cs="Arial"/>
          <w:sz w:val="20"/>
          <w:szCs w:val="20"/>
        </w:rPr>
        <w:t>tuffaceous</w:t>
      </w:r>
      <w:proofErr w:type="spellEnd"/>
      <w:r w:rsidRPr="00FE4B6F">
        <w:rPr>
          <w:rFonts w:ascii="Arial" w:hAnsi="Arial" w:cs="Arial"/>
          <w:sz w:val="20"/>
          <w:szCs w:val="20"/>
        </w:rPr>
        <w:t xml:space="preserve"> textures. Silicified portions can carry better grades. The tuffs have been traced by drill intercepts across the entire property.</w:t>
      </w:r>
    </w:p>
    <w:p w14:paraId="13C5DAE8" w14:textId="77777777" w:rsidR="00FE4B6F" w:rsidRPr="00FE4B6F" w:rsidRDefault="00FE4B6F" w:rsidP="00FE4B6F">
      <w:pPr>
        <w:pStyle w:val="ListParagraph"/>
        <w:widowControl w:val="0"/>
        <w:numPr>
          <w:ilvl w:val="0"/>
          <w:numId w:val="4"/>
        </w:numPr>
        <w:autoSpaceDE w:val="0"/>
        <w:autoSpaceDN w:val="0"/>
        <w:adjustRightInd w:val="0"/>
        <w:jc w:val="both"/>
        <w:rPr>
          <w:rFonts w:ascii="Arial" w:hAnsi="Arial" w:cs="Arial"/>
          <w:sz w:val="20"/>
          <w:szCs w:val="20"/>
        </w:rPr>
      </w:pPr>
      <w:proofErr w:type="gramStart"/>
      <w:r w:rsidRPr="00FE4B6F">
        <w:rPr>
          <w:rFonts w:ascii="Arial" w:hAnsi="Arial" w:cs="Arial"/>
          <w:sz w:val="20"/>
          <w:szCs w:val="20"/>
        </w:rPr>
        <w:t>there</w:t>
      </w:r>
      <w:proofErr w:type="gramEnd"/>
      <w:r w:rsidRPr="00FE4B6F">
        <w:rPr>
          <w:rFonts w:ascii="Arial" w:hAnsi="Arial" w:cs="Arial"/>
          <w:sz w:val="20"/>
          <w:szCs w:val="20"/>
        </w:rPr>
        <w:t xml:space="preserve"> is a significant 50-100m wide swath within the Cadillac Break and located south of </w:t>
      </w:r>
      <w:r w:rsidRPr="00FE4B6F">
        <w:rPr>
          <w:rFonts w:ascii="Arial" w:hAnsi="Arial" w:cs="Arial"/>
          <w:sz w:val="20"/>
          <w:szCs w:val="20"/>
        </w:rPr>
        <w:lastRenderedPageBreak/>
        <w:t xml:space="preserve">the Tuffs consisting of porphyries and diorite intrusions. A number of parallel mineralized systems consisting of </w:t>
      </w:r>
      <w:proofErr w:type="spellStart"/>
      <w:r w:rsidRPr="00FE4B6F">
        <w:rPr>
          <w:rFonts w:ascii="Arial" w:hAnsi="Arial" w:cs="Arial"/>
          <w:sz w:val="20"/>
          <w:szCs w:val="20"/>
        </w:rPr>
        <w:t>brecciation</w:t>
      </w:r>
      <w:proofErr w:type="spellEnd"/>
      <w:r w:rsidRPr="00FE4B6F">
        <w:rPr>
          <w:rFonts w:ascii="Arial" w:hAnsi="Arial" w:cs="Arial"/>
          <w:sz w:val="20"/>
          <w:szCs w:val="20"/>
        </w:rPr>
        <w:t xml:space="preserve"> and fracturing have been identified along the contacts and within these </w:t>
      </w:r>
      <w:proofErr w:type="spellStart"/>
      <w:r w:rsidRPr="00FE4B6F">
        <w:rPr>
          <w:rFonts w:ascii="Arial" w:hAnsi="Arial" w:cs="Arial"/>
          <w:sz w:val="20"/>
          <w:szCs w:val="20"/>
        </w:rPr>
        <w:t>intrusives</w:t>
      </w:r>
      <w:proofErr w:type="spellEnd"/>
      <w:r w:rsidRPr="00FE4B6F">
        <w:rPr>
          <w:rFonts w:ascii="Arial" w:hAnsi="Arial" w:cs="Arial"/>
          <w:sz w:val="20"/>
          <w:szCs w:val="20"/>
        </w:rPr>
        <w:t xml:space="preserve"> which can achieve widths of more than 20 m in certain areas.</w:t>
      </w:r>
    </w:p>
    <w:p w14:paraId="286BB48C" w14:textId="77777777" w:rsidR="00FE4B6F" w:rsidRPr="00FE4B6F" w:rsidRDefault="00FE4B6F" w:rsidP="00FE4B6F">
      <w:pPr>
        <w:pStyle w:val="ListParagraph"/>
        <w:numPr>
          <w:ilvl w:val="0"/>
          <w:numId w:val="4"/>
        </w:numPr>
        <w:jc w:val="both"/>
        <w:rPr>
          <w:rFonts w:ascii="Arial" w:hAnsi="Arial" w:cs="Arial"/>
          <w:sz w:val="20"/>
          <w:szCs w:val="20"/>
        </w:rPr>
      </w:pPr>
      <w:proofErr w:type="spellStart"/>
      <w:r w:rsidRPr="00FE4B6F">
        <w:rPr>
          <w:rFonts w:ascii="Arial" w:hAnsi="Arial" w:cs="Arial"/>
          <w:sz w:val="20"/>
          <w:szCs w:val="20"/>
        </w:rPr>
        <w:t>Felsites</w:t>
      </w:r>
      <w:proofErr w:type="spellEnd"/>
      <w:r w:rsidRPr="00FE4B6F">
        <w:rPr>
          <w:rFonts w:ascii="Arial" w:hAnsi="Arial" w:cs="Arial"/>
          <w:sz w:val="20"/>
          <w:szCs w:val="20"/>
        </w:rPr>
        <w:t xml:space="preserve"> are generally located within the sediments south of the Cadillac Break and are continuous across the property.  They are often fractured with varying levels of </w:t>
      </w:r>
      <w:proofErr w:type="spellStart"/>
      <w:r w:rsidRPr="00FE4B6F">
        <w:rPr>
          <w:rFonts w:ascii="Arial" w:hAnsi="Arial" w:cs="Arial"/>
          <w:sz w:val="20"/>
          <w:szCs w:val="20"/>
        </w:rPr>
        <w:t>silicification</w:t>
      </w:r>
      <w:proofErr w:type="spellEnd"/>
      <w:r w:rsidRPr="00FE4B6F">
        <w:rPr>
          <w:rFonts w:ascii="Arial" w:hAnsi="Arial" w:cs="Arial"/>
          <w:sz w:val="20"/>
          <w:szCs w:val="20"/>
        </w:rPr>
        <w:t xml:space="preserve"> and alteration.  Several parallel mineralized zones are not well identified as most historic holes targeting the porphyries and tuffs were collared to the north of the </w:t>
      </w:r>
      <w:proofErr w:type="spellStart"/>
      <w:r w:rsidRPr="00FE4B6F">
        <w:rPr>
          <w:rFonts w:ascii="Arial" w:hAnsi="Arial" w:cs="Arial"/>
          <w:sz w:val="20"/>
          <w:szCs w:val="20"/>
        </w:rPr>
        <w:t>felsites</w:t>
      </w:r>
      <w:proofErr w:type="spellEnd"/>
      <w:r w:rsidRPr="00FE4B6F">
        <w:rPr>
          <w:rFonts w:ascii="Arial" w:hAnsi="Arial" w:cs="Arial"/>
          <w:sz w:val="20"/>
          <w:szCs w:val="20"/>
        </w:rPr>
        <w:t>.</w:t>
      </w:r>
    </w:p>
    <w:p w14:paraId="46FA3686" w14:textId="77777777" w:rsidR="00FE4B6F" w:rsidRPr="00FE4B6F" w:rsidRDefault="00FE4B6F" w:rsidP="00FE4B6F">
      <w:pPr>
        <w:jc w:val="both"/>
        <w:rPr>
          <w:rFonts w:ascii="Arial" w:hAnsi="Arial" w:cs="Arial"/>
          <w:sz w:val="20"/>
          <w:szCs w:val="20"/>
        </w:rPr>
      </w:pPr>
    </w:p>
    <w:p w14:paraId="080AA074" w14:textId="77777777" w:rsidR="00FE4B6F" w:rsidRPr="00FE4B6F" w:rsidRDefault="00FE4B6F" w:rsidP="00FE4B6F">
      <w:pPr>
        <w:rPr>
          <w:rFonts w:ascii="Arial" w:hAnsi="Arial" w:cs="Arial"/>
          <w:b/>
          <w:sz w:val="20"/>
          <w:szCs w:val="20"/>
        </w:rPr>
      </w:pPr>
      <w:r w:rsidRPr="00FE4B6F">
        <w:rPr>
          <w:rFonts w:ascii="Arial" w:hAnsi="Arial" w:cs="Arial"/>
          <w:b/>
          <w:sz w:val="20"/>
          <w:szCs w:val="20"/>
        </w:rPr>
        <w:t>Current Geological Interpretation</w:t>
      </w:r>
    </w:p>
    <w:p w14:paraId="1ABA3997" w14:textId="77777777" w:rsidR="00FE4B6F" w:rsidRPr="00FE4B6F" w:rsidRDefault="00FE4B6F" w:rsidP="00FE4B6F">
      <w:pPr>
        <w:rPr>
          <w:rFonts w:ascii="Arial" w:hAnsi="Arial" w:cs="Arial"/>
          <w:sz w:val="20"/>
          <w:szCs w:val="20"/>
        </w:rPr>
      </w:pPr>
    </w:p>
    <w:p w14:paraId="75401937" w14:textId="77777777" w:rsidR="00FE4B6F" w:rsidRPr="00FE4B6F" w:rsidRDefault="00FE4B6F" w:rsidP="00FE4B6F">
      <w:pPr>
        <w:jc w:val="both"/>
        <w:rPr>
          <w:rFonts w:ascii="Arial" w:hAnsi="Arial" w:cs="Arial"/>
          <w:sz w:val="20"/>
          <w:szCs w:val="20"/>
        </w:rPr>
      </w:pPr>
      <w:r w:rsidRPr="00FE4B6F">
        <w:rPr>
          <w:rFonts w:ascii="Arial" w:hAnsi="Arial" w:cs="Arial"/>
          <w:sz w:val="20"/>
          <w:szCs w:val="20"/>
        </w:rPr>
        <w:t xml:space="preserve">Renforth has spent some time compiling a geological interpretation of the mineralization at </w:t>
      </w:r>
      <w:proofErr w:type="spellStart"/>
      <w:r w:rsidRPr="00FE4B6F">
        <w:rPr>
          <w:rFonts w:ascii="Arial" w:hAnsi="Arial" w:cs="Arial"/>
          <w:sz w:val="20"/>
          <w:szCs w:val="20"/>
        </w:rPr>
        <w:t>Parbec</w:t>
      </w:r>
      <w:proofErr w:type="spellEnd"/>
      <w:r w:rsidRPr="00FE4B6F">
        <w:rPr>
          <w:rFonts w:ascii="Arial" w:hAnsi="Arial" w:cs="Arial"/>
          <w:sz w:val="20"/>
          <w:szCs w:val="20"/>
        </w:rPr>
        <w:t xml:space="preserve">.  Physical maps and digital depiction of the data will be available at </w:t>
      </w:r>
      <w:proofErr w:type="spellStart"/>
      <w:r w:rsidRPr="00FE4B6F">
        <w:rPr>
          <w:rFonts w:ascii="Arial" w:hAnsi="Arial" w:cs="Arial"/>
          <w:sz w:val="20"/>
          <w:szCs w:val="20"/>
        </w:rPr>
        <w:t>Renforth’s</w:t>
      </w:r>
      <w:proofErr w:type="spellEnd"/>
      <w:r w:rsidRPr="00FE4B6F">
        <w:rPr>
          <w:rFonts w:ascii="Arial" w:hAnsi="Arial" w:cs="Arial"/>
          <w:sz w:val="20"/>
          <w:szCs w:val="20"/>
        </w:rPr>
        <w:t xml:space="preserve"> booth (221B) at the Prospectors and Developers Assoc. of Canada’s annual convention March 8</w:t>
      </w:r>
      <w:r w:rsidRPr="00FE4B6F">
        <w:rPr>
          <w:rFonts w:ascii="Arial" w:hAnsi="Arial" w:cs="Arial"/>
          <w:sz w:val="20"/>
          <w:szCs w:val="20"/>
          <w:vertAlign w:val="superscript"/>
        </w:rPr>
        <w:t>th</w:t>
      </w:r>
      <w:r w:rsidRPr="00FE4B6F">
        <w:rPr>
          <w:rFonts w:ascii="Arial" w:hAnsi="Arial" w:cs="Arial"/>
          <w:sz w:val="20"/>
          <w:szCs w:val="20"/>
        </w:rPr>
        <w:t xml:space="preserve"> and 9</w:t>
      </w:r>
      <w:r w:rsidRPr="00FE4B6F">
        <w:rPr>
          <w:rFonts w:ascii="Arial" w:hAnsi="Arial" w:cs="Arial"/>
          <w:sz w:val="20"/>
          <w:szCs w:val="20"/>
          <w:vertAlign w:val="superscript"/>
        </w:rPr>
        <w:t>th</w:t>
      </w:r>
      <w:r w:rsidRPr="00FE4B6F">
        <w:rPr>
          <w:rFonts w:ascii="Arial" w:hAnsi="Arial" w:cs="Arial"/>
          <w:sz w:val="20"/>
          <w:szCs w:val="20"/>
        </w:rPr>
        <w:t>.  An image of the geological compilation surface plan is presented below;</w:t>
      </w:r>
    </w:p>
    <w:p w14:paraId="37143822" w14:textId="77777777" w:rsidR="00FE4B6F" w:rsidRPr="00FE4B6F" w:rsidRDefault="00FE4B6F" w:rsidP="00FE4B6F">
      <w:pPr>
        <w:rPr>
          <w:rFonts w:ascii="Arial" w:hAnsi="Arial" w:cs="Arial"/>
          <w:sz w:val="20"/>
          <w:szCs w:val="20"/>
        </w:rPr>
      </w:pPr>
    </w:p>
    <w:p w14:paraId="1DBA5296" w14:textId="77777777" w:rsidR="00FE4B6F" w:rsidRPr="00FE4B6F" w:rsidRDefault="00FE4B6F" w:rsidP="00FE4B6F">
      <w:pPr>
        <w:rPr>
          <w:rFonts w:ascii="Arial" w:hAnsi="Arial" w:cs="Arial"/>
          <w:sz w:val="20"/>
          <w:szCs w:val="20"/>
        </w:rPr>
      </w:pPr>
      <w:r w:rsidRPr="00FE4B6F">
        <w:rPr>
          <w:rFonts w:ascii="Arial" w:hAnsi="Arial" w:cs="Arial"/>
          <w:noProof/>
          <w:sz w:val="20"/>
          <w:szCs w:val="20"/>
          <w:lang w:eastAsia="en-US"/>
        </w:rPr>
        <w:drawing>
          <wp:inline distT="0" distB="0" distL="0" distR="0" wp14:anchorId="09971D20" wp14:editId="054504F5">
            <wp:extent cx="5486400" cy="4522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bec Surface Plan 2.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522470"/>
                    </a:xfrm>
                    <a:prstGeom prst="rect">
                      <a:avLst/>
                    </a:prstGeom>
                  </pic:spPr>
                </pic:pic>
              </a:graphicData>
            </a:graphic>
          </wp:inline>
        </w:drawing>
      </w:r>
    </w:p>
    <w:p w14:paraId="0FFEFCFE" w14:textId="77777777" w:rsidR="00FE4B6F" w:rsidRPr="00FE4B6F" w:rsidRDefault="00FE4B6F" w:rsidP="00FE4B6F">
      <w:pPr>
        <w:rPr>
          <w:rFonts w:ascii="Arial" w:hAnsi="Arial" w:cs="Arial"/>
          <w:sz w:val="20"/>
          <w:szCs w:val="20"/>
        </w:rPr>
      </w:pPr>
    </w:p>
    <w:p w14:paraId="443C4E1A" w14:textId="77777777" w:rsidR="00FE4B6F" w:rsidRPr="00FE4B6F" w:rsidRDefault="00FE4B6F" w:rsidP="00FE4B6F">
      <w:pPr>
        <w:rPr>
          <w:rFonts w:ascii="Arial" w:hAnsi="Arial" w:cs="Arial"/>
          <w:b/>
          <w:sz w:val="20"/>
          <w:szCs w:val="20"/>
        </w:rPr>
      </w:pPr>
      <w:r w:rsidRPr="00FE4B6F">
        <w:rPr>
          <w:rFonts w:ascii="Arial" w:hAnsi="Arial" w:cs="Arial"/>
          <w:b/>
          <w:sz w:val="20"/>
          <w:szCs w:val="20"/>
        </w:rPr>
        <w:t xml:space="preserve">Future Exploration at </w:t>
      </w:r>
      <w:proofErr w:type="spellStart"/>
      <w:r w:rsidRPr="00FE4B6F">
        <w:rPr>
          <w:rFonts w:ascii="Arial" w:hAnsi="Arial" w:cs="Arial"/>
          <w:b/>
          <w:sz w:val="20"/>
          <w:szCs w:val="20"/>
        </w:rPr>
        <w:t>Parbec</w:t>
      </w:r>
      <w:proofErr w:type="spellEnd"/>
    </w:p>
    <w:p w14:paraId="588D0D44" w14:textId="77777777" w:rsidR="00FE4B6F" w:rsidRPr="00FE4B6F" w:rsidRDefault="00FE4B6F" w:rsidP="00FE4B6F">
      <w:pPr>
        <w:rPr>
          <w:rFonts w:ascii="Arial" w:hAnsi="Arial" w:cs="Arial"/>
          <w:b/>
          <w:sz w:val="20"/>
          <w:szCs w:val="20"/>
        </w:rPr>
      </w:pPr>
    </w:p>
    <w:p w14:paraId="3642D108" w14:textId="77777777" w:rsidR="00FE4B6F" w:rsidRPr="00FE4B6F" w:rsidRDefault="00FE4B6F" w:rsidP="00FE4B6F">
      <w:pPr>
        <w:rPr>
          <w:rFonts w:ascii="Arial" w:hAnsi="Arial" w:cs="Arial"/>
          <w:sz w:val="20"/>
          <w:szCs w:val="20"/>
        </w:rPr>
      </w:pPr>
      <w:r w:rsidRPr="00FE4B6F">
        <w:rPr>
          <w:rFonts w:ascii="Arial" w:hAnsi="Arial" w:cs="Arial"/>
          <w:sz w:val="20"/>
          <w:szCs w:val="20"/>
        </w:rPr>
        <w:t xml:space="preserve">Several areas exist to be targeted in future exploration at </w:t>
      </w:r>
      <w:proofErr w:type="spellStart"/>
      <w:r w:rsidRPr="00FE4B6F">
        <w:rPr>
          <w:rFonts w:ascii="Arial" w:hAnsi="Arial" w:cs="Arial"/>
          <w:sz w:val="20"/>
          <w:szCs w:val="20"/>
        </w:rPr>
        <w:t>Parbec</w:t>
      </w:r>
      <w:proofErr w:type="spellEnd"/>
      <w:r w:rsidRPr="00FE4B6F">
        <w:rPr>
          <w:rFonts w:ascii="Arial" w:hAnsi="Arial" w:cs="Arial"/>
          <w:sz w:val="20"/>
          <w:szCs w:val="20"/>
        </w:rPr>
        <w:t>, as follows;</w:t>
      </w:r>
    </w:p>
    <w:p w14:paraId="3C59E5E4" w14:textId="77777777" w:rsidR="00FE4B6F" w:rsidRPr="00FE4B6F" w:rsidRDefault="00FE4B6F" w:rsidP="00FE4B6F">
      <w:pPr>
        <w:rPr>
          <w:rFonts w:ascii="Arial" w:hAnsi="Arial" w:cs="Arial"/>
          <w:sz w:val="20"/>
          <w:szCs w:val="20"/>
        </w:rPr>
      </w:pPr>
    </w:p>
    <w:p w14:paraId="5FD52854" w14:textId="77777777" w:rsidR="00FE4B6F" w:rsidRPr="00FE4B6F" w:rsidRDefault="00FE4B6F" w:rsidP="00FE4B6F">
      <w:pPr>
        <w:pStyle w:val="ListParagraph"/>
        <w:numPr>
          <w:ilvl w:val="0"/>
          <w:numId w:val="5"/>
        </w:numPr>
        <w:jc w:val="both"/>
        <w:rPr>
          <w:rFonts w:ascii="Arial" w:hAnsi="Arial" w:cs="Arial"/>
          <w:sz w:val="20"/>
          <w:szCs w:val="20"/>
        </w:rPr>
      </w:pPr>
      <w:r w:rsidRPr="00FE4B6F">
        <w:rPr>
          <w:rFonts w:ascii="Arial" w:hAnsi="Arial" w:cs="Arial"/>
          <w:sz w:val="20"/>
          <w:szCs w:val="20"/>
        </w:rPr>
        <w:t>Drilling from surface within the deposit as modeled, to depth and along strike – the process of detailed modeling that resulted in this initial resource calculation also highlighted “gaps” within the model.  These gaps can be targeted with surface drilling and if successful would positively impact the resource.  Within the outlined resource there are deeper gold intersections, gaps occur between these and the bulk of the resource (100% of the indicated and approximately 73% of the inferred resource is located within 200m of surface). The vertical gaps are priority drill targets.  Lastly, the structure is open along strike and. represents a prospective target along its length.</w:t>
      </w:r>
    </w:p>
    <w:p w14:paraId="0F7909D1" w14:textId="77777777" w:rsidR="00FE4B6F" w:rsidRPr="00FE4B6F" w:rsidRDefault="00FE4B6F" w:rsidP="00FE4B6F">
      <w:pPr>
        <w:pStyle w:val="ListParagraph"/>
        <w:numPr>
          <w:ilvl w:val="0"/>
          <w:numId w:val="5"/>
        </w:numPr>
        <w:jc w:val="both"/>
        <w:rPr>
          <w:rFonts w:ascii="Arial" w:hAnsi="Arial" w:cs="Arial"/>
          <w:sz w:val="20"/>
          <w:szCs w:val="20"/>
        </w:rPr>
      </w:pPr>
      <w:r w:rsidRPr="00FE4B6F">
        <w:rPr>
          <w:rFonts w:ascii="Arial" w:hAnsi="Arial" w:cs="Arial"/>
          <w:sz w:val="20"/>
          <w:szCs w:val="20"/>
        </w:rPr>
        <w:t xml:space="preserve">Dewatering the ramp – the 580 m ramp at </w:t>
      </w:r>
      <w:proofErr w:type="spellStart"/>
      <w:r w:rsidRPr="00FE4B6F">
        <w:rPr>
          <w:rFonts w:ascii="Arial" w:hAnsi="Arial" w:cs="Arial"/>
          <w:sz w:val="20"/>
          <w:szCs w:val="20"/>
        </w:rPr>
        <w:t>Parbec</w:t>
      </w:r>
      <w:proofErr w:type="spellEnd"/>
      <w:r w:rsidRPr="00FE4B6F">
        <w:rPr>
          <w:rFonts w:ascii="Arial" w:hAnsi="Arial" w:cs="Arial"/>
          <w:sz w:val="20"/>
          <w:szCs w:val="20"/>
        </w:rPr>
        <w:t xml:space="preserve"> ends at 100 m depth, about 30m south of the Tuff horizon in the Camp Zone which it was targeting.  This ramp, once dewatered, would provide access to sample the ramp, including the felsite zone it was collared in and provide underground drilling stations to investigate the main mineralized zones.  Additionally, the ramp could be extended along strike to allow additional drilling at depth and along strike as well as access for bulk sampling of the mineralized zones.</w:t>
      </w:r>
    </w:p>
    <w:p w14:paraId="317A4E99" w14:textId="77777777" w:rsidR="00FE4B6F" w:rsidRPr="00FE4B6F" w:rsidRDefault="00FE4B6F" w:rsidP="00FE4B6F">
      <w:pPr>
        <w:pStyle w:val="ListParagraph"/>
        <w:numPr>
          <w:ilvl w:val="0"/>
          <w:numId w:val="5"/>
        </w:numPr>
        <w:jc w:val="both"/>
        <w:rPr>
          <w:rFonts w:ascii="Arial" w:hAnsi="Arial" w:cs="Arial"/>
          <w:sz w:val="20"/>
          <w:szCs w:val="20"/>
        </w:rPr>
      </w:pPr>
      <w:r w:rsidRPr="00FE4B6F">
        <w:rPr>
          <w:rFonts w:ascii="Arial" w:hAnsi="Arial" w:cs="Arial"/>
          <w:sz w:val="20"/>
          <w:szCs w:val="20"/>
        </w:rPr>
        <w:t xml:space="preserve">Structural exploration – the resource modeling process has identified several areas of elevated gold values occurring in proximity to fault junctions.  Some of the best deeper intersections at </w:t>
      </w:r>
      <w:proofErr w:type="spellStart"/>
      <w:r w:rsidRPr="00FE4B6F">
        <w:rPr>
          <w:rFonts w:ascii="Arial" w:hAnsi="Arial" w:cs="Arial"/>
          <w:sz w:val="20"/>
          <w:szCs w:val="20"/>
        </w:rPr>
        <w:t>Parbec</w:t>
      </w:r>
      <w:proofErr w:type="spellEnd"/>
      <w:r w:rsidRPr="00FE4B6F">
        <w:rPr>
          <w:rFonts w:ascii="Arial" w:hAnsi="Arial" w:cs="Arial"/>
          <w:sz w:val="20"/>
          <w:szCs w:val="20"/>
        </w:rPr>
        <w:t xml:space="preserve"> occur in this setting.  Drilling above and below those intersections to increase known high grade areas is </w:t>
      </w:r>
      <w:proofErr w:type="gramStart"/>
      <w:r w:rsidRPr="00FE4B6F">
        <w:rPr>
          <w:rFonts w:ascii="Arial" w:hAnsi="Arial" w:cs="Arial"/>
          <w:sz w:val="20"/>
          <w:szCs w:val="20"/>
        </w:rPr>
        <w:t>planned .</w:t>
      </w:r>
      <w:proofErr w:type="gramEnd"/>
    </w:p>
    <w:p w14:paraId="3C261BD9" w14:textId="77777777" w:rsidR="00FE4B6F" w:rsidRPr="00FE4B6F" w:rsidRDefault="00FE4B6F" w:rsidP="00FE4B6F">
      <w:pPr>
        <w:pStyle w:val="ListParagraph"/>
        <w:numPr>
          <w:ilvl w:val="0"/>
          <w:numId w:val="5"/>
        </w:numPr>
        <w:jc w:val="both"/>
        <w:rPr>
          <w:rFonts w:ascii="Arial" w:hAnsi="Arial" w:cs="Arial"/>
          <w:sz w:val="20"/>
          <w:szCs w:val="20"/>
        </w:rPr>
      </w:pPr>
      <w:r w:rsidRPr="00FE4B6F">
        <w:rPr>
          <w:rFonts w:ascii="Arial" w:hAnsi="Arial" w:cs="Arial"/>
          <w:sz w:val="20"/>
          <w:szCs w:val="20"/>
        </w:rPr>
        <w:t xml:space="preserve">A large intrusive diorite stock, historically identified and verified in the field by Renforth is located in the SW portion of the property, on the south side of the Break.  The marginal areas of this intrusive have been found to host elevated gold values in drill intercepts outside of the area of the current resource.  An intrusive can be a heat engine for the emplacement of gold as well as provide a prospective environment for mineralization in the fracturing that occurs along the </w:t>
      </w:r>
      <w:proofErr w:type="spellStart"/>
      <w:r w:rsidRPr="00FE4B6F">
        <w:rPr>
          <w:rFonts w:ascii="Arial" w:hAnsi="Arial" w:cs="Arial"/>
          <w:sz w:val="20"/>
          <w:szCs w:val="20"/>
        </w:rPr>
        <w:t>intrusive’s</w:t>
      </w:r>
      <w:proofErr w:type="spellEnd"/>
      <w:r w:rsidRPr="00FE4B6F">
        <w:rPr>
          <w:rFonts w:ascii="Arial" w:hAnsi="Arial" w:cs="Arial"/>
          <w:sz w:val="20"/>
          <w:szCs w:val="20"/>
        </w:rPr>
        <w:t xml:space="preserve"> margins.  </w:t>
      </w:r>
    </w:p>
    <w:p w14:paraId="1D072CA0" w14:textId="77777777" w:rsidR="00FE4B6F" w:rsidRPr="00FE4B6F" w:rsidRDefault="00FE4B6F" w:rsidP="00FE4B6F">
      <w:pPr>
        <w:pStyle w:val="ListParagraph"/>
        <w:numPr>
          <w:ilvl w:val="0"/>
          <w:numId w:val="5"/>
        </w:numPr>
        <w:jc w:val="both"/>
        <w:rPr>
          <w:rFonts w:ascii="Arial" w:hAnsi="Arial" w:cs="Arial"/>
          <w:sz w:val="20"/>
          <w:szCs w:val="20"/>
        </w:rPr>
      </w:pPr>
      <w:r w:rsidRPr="00FE4B6F">
        <w:rPr>
          <w:rFonts w:ascii="Arial" w:hAnsi="Arial" w:cs="Arial"/>
          <w:sz w:val="20"/>
          <w:szCs w:val="20"/>
        </w:rPr>
        <w:t>Northern exploration targets – as detailed in previous press releases additional targets exist to the north of the Cadillac Break.</w:t>
      </w:r>
    </w:p>
    <w:p w14:paraId="3747B2F8" w14:textId="77777777" w:rsidR="00FE4B6F" w:rsidRPr="00FE4B6F" w:rsidRDefault="00FE4B6F" w:rsidP="00FE4B6F">
      <w:pPr>
        <w:rPr>
          <w:rFonts w:ascii="Arial" w:hAnsi="Arial" w:cs="Arial"/>
          <w:sz w:val="20"/>
          <w:szCs w:val="20"/>
        </w:rPr>
      </w:pPr>
    </w:p>
    <w:p w14:paraId="54A99A73" w14:textId="77777777" w:rsidR="00FE4B6F" w:rsidRPr="00FE4B6F" w:rsidRDefault="00FE4B6F" w:rsidP="00FE4B6F">
      <w:pPr>
        <w:rPr>
          <w:rFonts w:ascii="Arial" w:hAnsi="Arial" w:cs="Arial"/>
          <w:sz w:val="20"/>
          <w:szCs w:val="20"/>
        </w:rPr>
      </w:pPr>
      <w:r w:rsidRPr="00FE4B6F">
        <w:rPr>
          <w:rFonts w:ascii="Arial" w:hAnsi="Arial" w:cs="Arial"/>
          <w:sz w:val="20"/>
          <w:szCs w:val="20"/>
        </w:rPr>
        <w:t xml:space="preserve">Brian H. Newton </w:t>
      </w:r>
      <w:proofErr w:type="spellStart"/>
      <w:r w:rsidRPr="00FE4B6F">
        <w:rPr>
          <w:rFonts w:ascii="Arial" w:hAnsi="Arial" w:cs="Arial"/>
          <w:sz w:val="20"/>
          <w:szCs w:val="20"/>
        </w:rPr>
        <w:t>P.Geo</w:t>
      </w:r>
      <w:proofErr w:type="spellEnd"/>
      <w:r w:rsidRPr="00FE4B6F">
        <w:rPr>
          <w:rFonts w:ascii="Arial" w:hAnsi="Arial" w:cs="Arial"/>
          <w:sz w:val="20"/>
          <w:szCs w:val="20"/>
        </w:rPr>
        <w:t>, a “Qualified Person” pursuant to NI 43-101, is responsible for the preparation of this resource statement and has reviewed and approved the technical disclosure within this press release.  A complete Technical Report will be posted on the Company’s website and on SEDAR with 45 days of this news release.</w:t>
      </w:r>
    </w:p>
    <w:p w14:paraId="43DBE48D" w14:textId="77777777" w:rsidR="00FE4B6F" w:rsidRDefault="00FE4B6F" w:rsidP="00FE4B6F">
      <w:pPr>
        <w:jc w:val="both"/>
        <w:rPr>
          <w:rFonts w:ascii="Arial" w:hAnsi="Arial" w:cs="Arial"/>
          <w:b/>
          <w:color w:val="000000"/>
          <w:sz w:val="20"/>
          <w:szCs w:val="20"/>
        </w:rPr>
      </w:pPr>
    </w:p>
    <w:p w14:paraId="3796CA5D" w14:textId="4653C497" w:rsidR="00284992" w:rsidRPr="004A52FA" w:rsidRDefault="00284992" w:rsidP="00FE4B6F">
      <w:pPr>
        <w:jc w:val="both"/>
        <w:rPr>
          <w:rFonts w:ascii="Arial" w:hAnsi="Arial" w:cs="Arial"/>
          <w:b/>
          <w:color w:val="000000"/>
          <w:sz w:val="20"/>
          <w:szCs w:val="20"/>
        </w:rPr>
      </w:pPr>
      <w:r w:rsidRPr="004A52FA">
        <w:rPr>
          <w:rFonts w:ascii="Arial" w:hAnsi="Arial" w:cs="Arial"/>
          <w:b/>
          <w:color w:val="000000"/>
          <w:sz w:val="20"/>
          <w:szCs w:val="20"/>
        </w:rPr>
        <w:t xml:space="preserve">ABOUT RENFORTH </w:t>
      </w:r>
    </w:p>
    <w:p w14:paraId="2EDE2794" w14:textId="77777777" w:rsidR="00284992" w:rsidRPr="004A52FA" w:rsidRDefault="00284992" w:rsidP="00284992">
      <w:pPr>
        <w:autoSpaceDE w:val="0"/>
        <w:autoSpaceDN w:val="0"/>
        <w:adjustRightInd w:val="0"/>
        <w:jc w:val="both"/>
        <w:rPr>
          <w:rFonts w:ascii="Arial" w:hAnsi="Arial" w:cs="Arial"/>
          <w:color w:val="000000"/>
          <w:sz w:val="20"/>
          <w:szCs w:val="20"/>
          <w:shd w:val="clear" w:color="auto" w:fill="FFFFFF"/>
        </w:rPr>
      </w:pPr>
      <w:r w:rsidRPr="004A52FA">
        <w:rPr>
          <w:rFonts w:ascii="Arial" w:hAnsi="Arial" w:cs="Arial"/>
          <w:color w:val="000000"/>
          <w:sz w:val="20"/>
          <w:szCs w:val="20"/>
          <w:shd w:val="clear" w:color="auto" w:fill="FFFFFF"/>
        </w:rPr>
        <w:t xml:space="preserve">Renforth Resources Inc. is a Toronto-based gold exploration company with interests in two of Canada’s gold exploration camps.  In the Cadillac-Malartic Gold Camp the Company holds the New Alger project, with an inferred resource of 237,000 ounces of gold above a depth of 200 </w:t>
      </w:r>
      <w:proofErr w:type="spellStart"/>
      <w:r w:rsidRPr="004A52FA">
        <w:rPr>
          <w:rFonts w:ascii="Arial" w:hAnsi="Arial" w:cs="Arial"/>
          <w:color w:val="000000"/>
          <w:sz w:val="20"/>
          <w:szCs w:val="20"/>
          <w:shd w:val="clear" w:color="auto" w:fill="FFFFFF"/>
        </w:rPr>
        <w:t>metres</w:t>
      </w:r>
      <w:proofErr w:type="spellEnd"/>
      <w:r w:rsidRPr="004A52FA">
        <w:rPr>
          <w:rFonts w:ascii="Arial" w:hAnsi="Arial" w:cs="Arial"/>
          <w:color w:val="000000"/>
          <w:sz w:val="20"/>
          <w:szCs w:val="20"/>
          <w:shd w:val="clear" w:color="auto" w:fill="FFFFFF"/>
        </w:rPr>
        <w:t xml:space="preserve"> contained in 3,505,000 </w:t>
      </w:r>
      <w:proofErr w:type="spellStart"/>
      <w:r w:rsidRPr="004A52FA">
        <w:rPr>
          <w:rFonts w:ascii="Arial" w:hAnsi="Arial" w:cs="Arial"/>
          <w:color w:val="000000"/>
          <w:sz w:val="20"/>
          <w:szCs w:val="20"/>
          <w:shd w:val="clear" w:color="auto" w:fill="FFFFFF"/>
        </w:rPr>
        <w:t>tonnes</w:t>
      </w:r>
      <w:proofErr w:type="spellEnd"/>
      <w:r w:rsidRPr="004A52FA">
        <w:rPr>
          <w:rFonts w:ascii="Arial" w:hAnsi="Arial" w:cs="Arial"/>
          <w:color w:val="000000"/>
          <w:sz w:val="20"/>
          <w:szCs w:val="20"/>
          <w:shd w:val="clear" w:color="auto" w:fill="FFFFFF"/>
        </w:rPr>
        <w:t xml:space="preserve"> with a grade of 2.1g/t Au using a cut-off of 0.75 g/t Au (see press release July 17, 2014) as calculated by Brian H. Newton P.Geo and Philip Burt P.Geo, which is located on the Cadillac Break outside of Cadillac, Quebec and an option to purchase 100% of the Parbec Property</w:t>
      </w:r>
      <w:r w:rsidR="0056286E" w:rsidRPr="004A52FA">
        <w:rPr>
          <w:rFonts w:ascii="Arial" w:hAnsi="Arial" w:cs="Arial"/>
          <w:color w:val="000000"/>
          <w:sz w:val="20"/>
          <w:szCs w:val="20"/>
          <w:shd w:val="clear" w:color="auto" w:fill="FFFFFF"/>
        </w:rPr>
        <w:t xml:space="preserve"> from Globex Mining Enterprises Inc. (GMX-TSE)</w:t>
      </w:r>
      <w:r w:rsidRPr="004A52FA">
        <w:rPr>
          <w:rFonts w:ascii="Arial" w:hAnsi="Arial" w:cs="Arial"/>
          <w:color w:val="000000"/>
          <w:sz w:val="20"/>
          <w:szCs w:val="20"/>
          <w:shd w:val="clear" w:color="auto" w:fill="FFFFFF"/>
        </w:rPr>
        <w:t xml:space="preserve">, a historically identified gold occurrence with more than 100 </w:t>
      </w:r>
      <w:proofErr w:type="spellStart"/>
      <w:r w:rsidRPr="004A52FA">
        <w:rPr>
          <w:rFonts w:ascii="Arial" w:hAnsi="Arial" w:cs="Arial"/>
          <w:color w:val="000000"/>
          <w:sz w:val="20"/>
          <w:szCs w:val="20"/>
          <w:shd w:val="clear" w:color="auto" w:fill="FFFFFF"/>
        </w:rPr>
        <w:t>drillholes</w:t>
      </w:r>
      <w:proofErr w:type="spellEnd"/>
      <w:r w:rsidRPr="004A52FA">
        <w:rPr>
          <w:rFonts w:ascii="Arial" w:hAnsi="Arial" w:cs="Arial"/>
          <w:color w:val="000000"/>
          <w:sz w:val="20"/>
          <w:szCs w:val="20"/>
          <w:shd w:val="clear" w:color="auto" w:fill="FFFFFF"/>
        </w:rPr>
        <w:t xml:space="preserve"> completed and a ramp into the mineralization in place located outside of Malartic, Quebec, contiguous to the Canadian Malartic open pit mine.  In Ontario the Company has the right to earn a 55% interest in the Nixon-</w:t>
      </w:r>
      <w:proofErr w:type="spellStart"/>
      <w:r w:rsidRPr="004A52FA">
        <w:rPr>
          <w:rFonts w:ascii="Arial" w:hAnsi="Arial" w:cs="Arial"/>
          <w:color w:val="000000"/>
          <w:sz w:val="20"/>
          <w:szCs w:val="20"/>
          <w:shd w:val="clear" w:color="auto" w:fill="FFFFFF"/>
        </w:rPr>
        <w:t>Bartleman</w:t>
      </w:r>
      <w:proofErr w:type="spellEnd"/>
      <w:r w:rsidRPr="004A52FA">
        <w:rPr>
          <w:rFonts w:ascii="Arial" w:hAnsi="Arial" w:cs="Arial"/>
          <w:color w:val="000000"/>
          <w:sz w:val="20"/>
          <w:szCs w:val="20"/>
          <w:shd w:val="clear" w:color="auto" w:fill="FFFFFF"/>
        </w:rPr>
        <w:t xml:space="preserve"> project, located on the Porcupine-</w:t>
      </w:r>
      <w:proofErr w:type="spellStart"/>
      <w:r w:rsidRPr="004A52FA">
        <w:rPr>
          <w:rFonts w:ascii="Arial" w:hAnsi="Arial" w:cs="Arial"/>
          <w:color w:val="000000"/>
          <w:sz w:val="20"/>
          <w:szCs w:val="20"/>
          <w:shd w:val="clear" w:color="auto" w:fill="FFFFFF"/>
        </w:rPr>
        <w:t>Destor</w:t>
      </w:r>
      <w:proofErr w:type="spellEnd"/>
      <w:r w:rsidRPr="004A52FA">
        <w:rPr>
          <w:rFonts w:ascii="Arial" w:hAnsi="Arial" w:cs="Arial"/>
          <w:color w:val="000000"/>
          <w:sz w:val="20"/>
          <w:szCs w:val="20"/>
          <w:shd w:val="clear" w:color="auto" w:fill="FFFFFF"/>
        </w:rPr>
        <w:t xml:space="preserve"> fault in the West Timmins Mining area, another historic gold occurrence with a couple of old shallow pits onsite and a history of past drilling which has not yet defined the gold occurrence.</w:t>
      </w:r>
    </w:p>
    <w:p w14:paraId="1BA131C8" w14:textId="39C38B98" w:rsidR="00284992" w:rsidRPr="004A52FA" w:rsidRDefault="00FE4B6F" w:rsidP="00284992">
      <w:pPr>
        <w:spacing w:before="100" w:beforeAutospacing="1" w:after="120"/>
        <w:rPr>
          <w:rFonts w:ascii="Arial" w:hAnsi="Arial" w:cs="Arial"/>
          <w:color w:val="000000"/>
          <w:sz w:val="20"/>
          <w:szCs w:val="20"/>
        </w:rPr>
      </w:pPr>
      <w:r>
        <w:rPr>
          <w:rFonts w:ascii="Arial" w:hAnsi="Arial" w:cs="Arial"/>
          <w:color w:val="000000"/>
          <w:sz w:val="20"/>
          <w:szCs w:val="20"/>
        </w:rPr>
        <w:t>F</w:t>
      </w:r>
      <w:r w:rsidR="00284992" w:rsidRPr="004A52FA">
        <w:rPr>
          <w:rFonts w:ascii="Arial" w:hAnsi="Arial" w:cs="Arial"/>
          <w:color w:val="000000"/>
          <w:sz w:val="20"/>
          <w:szCs w:val="20"/>
        </w:rPr>
        <w:t>or further information please contact:</w:t>
      </w:r>
    </w:p>
    <w:p w14:paraId="11FF9768" w14:textId="77777777" w:rsidR="00284992" w:rsidRPr="004A52FA" w:rsidRDefault="00284992" w:rsidP="00284992">
      <w:pPr>
        <w:autoSpaceDE w:val="0"/>
        <w:autoSpaceDN w:val="0"/>
        <w:adjustRightInd w:val="0"/>
        <w:outlineLvl w:val="0"/>
        <w:rPr>
          <w:rFonts w:ascii="Arial" w:hAnsi="Arial" w:cs="Arial"/>
          <w:b/>
          <w:color w:val="000000"/>
          <w:sz w:val="20"/>
          <w:szCs w:val="20"/>
          <w:lang w:val="en-CA" w:eastAsia="en-CA"/>
        </w:rPr>
      </w:pPr>
      <w:r w:rsidRPr="004A52FA">
        <w:rPr>
          <w:rFonts w:ascii="Arial" w:hAnsi="Arial" w:cs="Arial"/>
          <w:b/>
          <w:color w:val="000000"/>
          <w:sz w:val="20"/>
          <w:szCs w:val="20"/>
          <w:lang w:val="en-CA" w:eastAsia="en-CA"/>
        </w:rPr>
        <w:t>Renforth Resources Inc.</w:t>
      </w:r>
    </w:p>
    <w:p w14:paraId="15602AC7" w14:textId="77777777" w:rsidR="00284992" w:rsidRPr="004A52FA" w:rsidRDefault="00284992" w:rsidP="00284992">
      <w:pPr>
        <w:autoSpaceDE w:val="0"/>
        <w:autoSpaceDN w:val="0"/>
        <w:adjustRightInd w:val="0"/>
        <w:outlineLvl w:val="0"/>
        <w:rPr>
          <w:rFonts w:ascii="Arial" w:hAnsi="Arial" w:cs="Arial"/>
          <w:bCs/>
          <w:color w:val="000000"/>
          <w:sz w:val="20"/>
          <w:szCs w:val="20"/>
          <w:lang w:val="en-CA" w:eastAsia="en-CA"/>
        </w:rPr>
      </w:pPr>
      <w:r w:rsidRPr="004A52FA">
        <w:rPr>
          <w:rFonts w:ascii="Arial" w:hAnsi="Arial" w:cs="Arial"/>
          <w:bCs/>
          <w:color w:val="000000"/>
          <w:sz w:val="20"/>
          <w:szCs w:val="20"/>
          <w:lang w:val="en-CA" w:eastAsia="en-CA"/>
        </w:rPr>
        <w:t>Nicole Brewster</w:t>
      </w:r>
    </w:p>
    <w:p w14:paraId="2555DE66" w14:textId="77777777" w:rsidR="00284992" w:rsidRPr="004A52FA" w:rsidRDefault="00284992" w:rsidP="00284992">
      <w:pPr>
        <w:autoSpaceDE w:val="0"/>
        <w:autoSpaceDN w:val="0"/>
        <w:adjustRightInd w:val="0"/>
        <w:outlineLvl w:val="0"/>
        <w:rPr>
          <w:rFonts w:ascii="Arial" w:hAnsi="Arial" w:cs="Arial"/>
          <w:color w:val="000000"/>
          <w:sz w:val="20"/>
          <w:szCs w:val="20"/>
          <w:lang w:val="en-CA" w:eastAsia="en-CA"/>
        </w:rPr>
      </w:pPr>
      <w:r w:rsidRPr="004A52FA">
        <w:rPr>
          <w:rFonts w:ascii="Arial" w:hAnsi="Arial" w:cs="Arial"/>
          <w:color w:val="000000"/>
          <w:sz w:val="20"/>
          <w:szCs w:val="20"/>
          <w:lang w:val="en-CA" w:eastAsia="en-CA"/>
        </w:rPr>
        <w:t>President and Chief Executive Officer</w:t>
      </w:r>
    </w:p>
    <w:p w14:paraId="6A41BB2E" w14:textId="7C877EC4" w:rsidR="00284992" w:rsidRPr="004A52FA" w:rsidRDefault="00284992" w:rsidP="00284992">
      <w:pPr>
        <w:autoSpaceDE w:val="0"/>
        <w:autoSpaceDN w:val="0"/>
        <w:adjustRightInd w:val="0"/>
        <w:rPr>
          <w:rFonts w:ascii="Arial" w:hAnsi="Arial" w:cs="Arial"/>
          <w:color w:val="000000"/>
          <w:sz w:val="20"/>
          <w:szCs w:val="20"/>
          <w:lang w:val="fr-CA" w:eastAsia="en-CA"/>
        </w:rPr>
      </w:pPr>
      <w:r w:rsidRPr="004A52FA">
        <w:rPr>
          <w:rFonts w:ascii="Arial" w:hAnsi="Arial" w:cs="Arial"/>
          <w:bCs/>
          <w:color w:val="000000"/>
          <w:sz w:val="20"/>
          <w:szCs w:val="20"/>
          <w:lang w:val="fr-CA" w:eastAsia="en-CA"/>
        </w:rPr>
        <w:t xml:space="preserve">T: </w:t>
      </w:r>
      <w:r w:rsidRPr="004A52FA">
        <w:rPr>
          <w:rFonts w:ascii="Arial" w:hAnsi="Arial" w:cs="Arial"/>
          <w:color w:val="000000"/>
          <w:sz w:val="20"/>
          <w:szCs w:val="20"/>
          <w:lang w:val="fr-CA" w:eastAsia="en-CA"/>
        </w:rPr>
        <w:t xml:space="preserve">(416) 368.5049 </w:t>
      </w:r>
      <w:r w:rsidR="00FE4B6F">
        <w:rPr>
          <w:rFonts w:ascii="Arial" w:hAnsi="Arial" w:cs="Arial"/>
          <w:color w:val="000000"/>
          <w:sz w:val="20"/>
          <w:szCs w:val="20"/>
          <w:lang w:val="fr-CA" w:eastAsia="en-CA"/>
        </w:rPr>
        <w:t>C:416-818-1393</w:t>
      </w:r>
      <w:r w:rsidRPr="004A52FA">
        <w:rPr>
          <w:rFonts w:ascii="Arial" w:hAnsi="Arial" w:cs="Arial"/>
          <w:color w:val="000000"/>
          <w:sz w:val="20"/>
          <w:szCs w:val="20"/>
          <w:lang w:val="fr-CA" w:eastAsia="en-CA"/>
        </w:rPr>
        <w:t xml:space="preserve">  </w:t>
      </w:r>
    </w:p>
    <w:p w14:paraId="76B6C287" w14:textId="77777777" w:rsidR="00284992" w:rsidRPr="004A52FA" w:rsidRDefault="00284992" w:rsidP="00284992">
      <w:pPr>
        <w:autoSpaceDE w:val="0"/>
        <w:autoSpaceDN w:val="0"/>
        <w:adjustRightInd w:val="0"/>
        <w:rPr>
          <w:rFonts w:ascii="Arial" w:hAnsi="Arial" w:cs="Arial"/>
          <w:color w:val="000000"/>
          <w:sz w:val="20"/>
          <w:szCs w:val="20"/>
          <w:lang w:val="fr-CA" w:eastAsia="en-CA"/>
        </w:rPr>
      </w:pPr>
      <w:r w:rsidRPr="004A52FA">
        <w:rPr>
          <w:rFonts w:ascii="Arial" w:hAnsi="Arial" w:cs="Arial"/>
          <w:bCs/>
          <w:color w:val="000000"/>
          <w:sz w:val="20"/>
          <w:szCs w:val="20"/>
          <w:lang w:val="fr-CA" w:eastAsia="en-CA"/>
        </w:rPr>
        <w:t xml:space="preserve">E: </w:t>
      </w:r>
      <w:r w:rsidRPr="004A52FA">
        <w:rPr>
          <w:rFonts w:ascii="Arial" w:hAnsi="Arial" w:cs="Arial"/>
          <w:color w:val="000000"/>
          <w:sz w:val="20"/>
          <w:szCs w:val="20"/>
          <w:lang w:val="fr-CA" w:eastAsia="en-CA"/>
        </w:rPr>
        <w:t xml:space="preserve">nicole@renforthresources.com </w:t>
      </w:r>
    </w:p>
    <w:p w14:paraId="5C51A7AF" w14:textId="77777777" w:rsidR="00284992" w:rsidRPr="004A52FA" w:rsidRDefault="00ED6E34" w:rsidP="00ED6E34">
      <w:pPr>
        <w:autoSpaceDE w:val="0"/>
        <w:autoSpaceDN w:val="0"/>
        <w:adjustRightInd w:val="0"/>
        <w:rPr>
          <w:rFonts w:ascii="Arial" w:hAnsi="Arial" w:cs="Arial"/>
          <w:color w:val="000000"/>
          <w:sz w:val="20"/>
          <w:szCs w:val="20"/>
          <w:lang w:val="fr-CA" w:eastAsia="en-CA"/>
        </w:rPr>
      </w:pPr>
      <w:r w:rsidRPr="004A52FA">
        <w:rPr>
          <w:rFonts w:ascii="Arial" w:hAnsi="Arial" w:cs="Arial"/>
          <w:color w:val="000000"/>
          <w:sz w:val="20"/>
          <w:szCs w:val="20"/>
          <w:lang w:val="fr-CA" w:eastAsia="en-CA"/>
        </w:rPr>
        <w:t>#304 – 65 Front St. E, Toronto, ON M5E 1B5</w:t>
      </w:r>
    </w:p>
    <w:p w14:paraId="439ABB1E" w14:textId="77777777" w:rsidR="00ED6E34" w:rsidRPr="004A52FA" w:rsidRDefault="00ED6E34" w:rsidP="00ED6E34">
      <w:pPr>
        <w:autoSpaceDE w:val="0"/>
        <w:autoSpaceDN w:val="0"/>
        <w:adjustRightInd w:val="0"/>
        <w:rPr>
          <w:rFonts w:ascii="Arial" w:hAnsi="Arial" w:cs="Arial"/>
          <w:color w:val="000000"/>
          <w:sz w:val="20"/>
          <w:szCs w:val="20"/>
          <w:lang w:val="fr-CA" w:eastAsia="en-CA"/>
        </w:rPr>
      </w:pPr>
    </w:p>
    <w:p w14:paraId="22093FDF" w14:textId="77777777" w:rsidR="00284992" w:rsidRPr="004A52FA" w:rsidRDefault="00284992" w:rsidP="00284992">
      <w:pPr>
        <w:autoSpaceDE w:val="0"/>
        <w:autoSpaceDN w:val="0"/>
        <w:adjustRightInd w:val="0"/>
        <w:rPr>
          <w:rFonts w:ascii="Arial" w:hAnsi="Arial" w:cs="Arial"/>
          <w:color w:val="000000"/>
          <w:sz w:val="20"/>
          <w:szCs w:val="20"/>
          <w:lang w:val="en-CA" w:eastAsia="en-CA"/>
        </w:rPr>
      </w:pPr>
      <w:r w:rsidRPr="004A52FA">
        <w:rPr>
          <w:rFonts w:ascii="Arial" w:hAnsi="Arial" w:cs="Arial"/>
          <w:i/>
          <w:color w:val="000000"/>
          <w:sz w:val="20"/>
          <w:szCs w:val="20"/>
          <w:lang w:val="en-CA" w:eastAsia="en-CA"/>
        </w:rPr>
        <w:t>No securities regulatory authority has approved or disapproved of the contents of this news release.</w:t>
      </w:r>
    </w:p>
    <w:p w14:paraId="57E41CE9" w14:textId="77777777" w:rsidR="00284992" w:rsidRPr="004A52FA" w:rsidRDefault="00284992" w:rsidP="00284992">
      <w:pPr>
        <w:pStyle w:val="Default"/>
        <w:rPr>
          <w:rFonts w:ascii="Arial" w:hAnsi="Arial" w:cs="Arial"/>
          <w:sz w:val="20"/>
          <w:szCs w:val="20"/>
        </w:rPr>
      </w:pPr>
    </w:p>
    <w:p w14:paraId="6535FABF" w14:textId="77777777" w:rsidR="00284992" w:rsidRPr="004A52FA" w:rsidRDefault="00284992" w:rsidP="00284992">
      <w:pPr>
        <w:pStyle w:val="Default"/>
        <w:rPr>
          <w:rFonts w:ascii="Arial" w:hAnsi="Arial" w:cs="Arial"/>
          <w:sz w:val="20"/>
          <w:szCs w:val="20"/>
          <w:u w:val="single"/>
        </w:rPr>
      </w:pPr>
      <w:r w:rsidRPr="004A52FA">
        <w:rPr>
          <w:rFonts w:ascii="Arial" w:hAnsi="Arial" w:cs="Arial"/>
          <w:sz w:val="20"/>
          <w:szCs w:val="20"/>
          <w:u w:val="single"/>
        </w:rPr>
        <w:t xml:space="preserve">Forward Looking Statements </w:t>
      </w:r>
    </w:p>
    <w:p w14:paraId="62E16500" w14:textId="77777777" w:rsidR="00284992" w:rsidRPr="004A52FA" w:rsidRDefault="00284992" w:rsidP="00284992">
      <w:pPr>
        <w:pStyle w:val="Default"/>
        <w:rPr>
          <w:rFonts w:ascii="Arial" w:hAnsi="Arial" w:cs="Arial"/>
          <w:sz w:val="20"/>
          <w:szCs w:val="20"/>
        </w:rPr>
      </w:pPr>
    </w:p>
    <w:p w14:paraId="7BEC9540" w14:textId="77777777" w:rsidR="00284992" w:rsidRPr="004A52FA" w:rsidRDefault="00284992" w:rsidP="00284992">
      <w:pPr>
        <w:jc w:val="both"/>
        <w:rPr>
          <w:rFonts w:ascii="Arial" w:hAnsi="Arial" w:cs="Arial"/>
          <w:sz w:val="20"/>
          <w:szCs w:val="20"/>
        </w:rPr>
      </w:pPr>
      <w:r w:rsidRPr="004A52FA">
        <w:rPr>
          <w:rFonts w:ascii="Arial" w:hAnsi="Arial" w:cs="Arial"/>
          <w:sz w:val="20"/>
          <w:szCs w:val="20"/>
        </w:rPr>
        <w:t xml:space="preserve">This news release contains forward-looking statements and information under applicable securities laws.  All statements, other than statements of historical fact, are forward looking. Forward-looking statements are frequently identified by such words as ‘may’, ‘will’, ‘plan’, ‘expect’, ‘believe’, ‘anticipate’, ‘estimate’, ‘intend’ and similar words referring to future events and results. Such statements and information are based on the current opinions and expectations of management. All forward-looking information is inherently uncertain and subject to a variety of assumptions, risks and uncertainties, including the speculative nature of mineral exploration and development, fluctuating commodity prices, the risks of obtaining necessary approvals, licenses and permits and the availability of financing, as described in more detail in the Company’s securities filings available at www.sedar.com. Actual events or results may differ materially from those projected in the forward-looking statements and the reader is cautioned against placing undue reliance thereon. Forward-looking information speaks only as of the date on which it is provided and the Company assumes no obligation to revise or update these forward-looking statements except as required by applicable law. </w:t>
      </w:r>
    </w:p>
    <w:p w14:paraId="3E26B9CD" w14:textId="77777777" w:rsidR="00284992" w:rsidRPr="004A52FA" w:rsidRDefault="00284992" w:rsidP="00284992">
      <w:pPr>
        <w:jc w:val="both"/>
        <w:rPr>
          <w:rFonts w:ascii="Arial" w:hAnsi="Arial" w:cs="Arial"/>
          <w:sz w:val="20"/>
          <w:szCs w:val="20"/>
        </w:rPr>
      </w:pPr>
    </w:p>
    <w:p w14:paraId="6EB2C98F" w14:textId="77777777" w:rsidR="00284992" w:rsidRPr="004A52FA" w:rsidRDefault="00284992" w:rsidP="00284992">
      <w:pPr>
        <w:jc w:val="both"/>
        <w:rPr>
          <w:rFonts w:ascii="Arial" w:hAnsi="Arial" w:cs="Arial"/>
          <w:sz w:val="20"/>
          <w:szCs w:val="20"/>
        </w:rPr>
      </w:pPr>
    </w:p>
    <w:p w14:paraId="5BEB55DA" w14:textId="77777777" w:rsidR="00284992" w:rsidRPr="004A52FA" w:rsidRDefault="00284992" w:rsidP="00284992">
      <w:pPr>
        <w:rPr>
          <w:rFonts w:ascii="Arial" w:hAnsi="Arial" w:cs="Arial"/>
          <w:sz w:val="20"/>
          <w:szCs w:val="20"/>
        </w:rPr>
      </w:pPr>
    </w:p>
    <w:p w14:paraId="6E498367" w14:textId="77777777" w:rsidR="00284992" w:rsidRPr="004A52FA" w:rsidRDefault="00284992" w:rsidP="00284992">
      <w:pPr>
        <w:rPr>
          <w:rFonts w:ascii="Arial" w:hAnsi="Arial" w:cs="Arial"/>
          <w:sz w:val="20"/>
          <w:szCs w:val="20"/>
        </w:rPr>
      </w:pPr>
      <w:r w:rsidRPr="004A52FA">
        <w:rPr>
          <w:rFonts w:ascii="Arial" w:hAnsi="Arial" w:cs="Arial"/>
          <w:sz w:val="20"/>
          <w:szCs w:val="20"/>
        </w:rPr>
        <w:t xml:space="preserve"> </w:t>
      </w:r>
    </w:p>
    <w:p w14:paraId="15430640" w14:textId="77777777" w:rsidR="00284992" w:rsidRPr="004A52FA" w:rsidRDefault="00284992" w:rsidP="00284992">
      <w:pPr>
        <w:jc w:val="both"/>
        <w:rPr>
          <w:rFonts w:ascii="Arial" w:hAnsi="Arial" w:cs="Arial"/>
          <w:color w:val="000000"/>
          <w:sz w:val="20"/>
          <w:szCs w:val="20"/>
          <w:lang w:val="en-CA" w:eastAsia="en-CA"/>
        </w:rPr>
      </w:pPr>
    </w:p>
    <w:p w14:paraId="4753743B" w14:textId="77777777" w:rsidR="00284992" w:rsidRPr="004A52FA" w:rsidRDefault="00284992" w:rsidP="00284992">
      <w:pPr>
        <w:spacing w:after="240"/>
        <w:jc w:val="both"/>
        <w:rPr>
          <w:rFonts w:ascii="Arial" w:hAnsi="Arial" w:cs="Arial"/>
          <w:sz w:val="20"/>
          <w:szCs w:val="20"/>
        </w:rPr>
      </w:pPr>
    </w:p>
    <w:p w14:paraId="679ED100" w14:textId="77777777" w:rsidR="00284992" w:rsidRPr="004A52FA" w:rsidRDefault="00284992" w:rsidP="00284992">
      <w:pPr>
        <w:spacing w:after="240"/>
        <w:jc w:val="both"/>
        <w:rPr>
          <w:rFonts w:ascii="Arial" w:hAnsi="Arial" w:cs="Arial"/>
          <w:sz w:val="20"/>
          <w:szCs w:val="20"/>
        </w:rPr>
      </w:pPr>
    </w:p>
    <w:p w14:paraId="52C4D779" w14:textId="77777777" w:rsidR="00284992" w:rsidRPr="004A52FA" w:rsidRDefault="00284992">
      <w:pPr>
        <w:rPr>
          <w:rFonts w:ascii="Arial" w:hAnsi="Arial" w:cs="Arial"/>
          <w:sz w:val="20"/>
          <w:szCs w:val="20"/>
        </w:rPr>
      </w:pPr>
    </w:p>
    <w:p w14:paraId="648B1B11" w14:textId="77777777" w:rsidR="006D7412" w:rsidRPr="004A52FA" w:rsidRDefault="006D7412">
      <w:pPr>
        <w:rPr>
          <w:rFonts w:ascii="Arial" w:hAnsi="Arial" w:cs="Arial"/>
          <w:sz w:val="20"/>
          <w:szCs w:val="20"/>
        </w:rPr>
      </w:pPr>
    </w:p>
    <w:sectPr w:rsidR="006D7412" w:rsidRPr="004A52FA" w:rsidSect="0010137E">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4405"/>
    <w:multiLevelType w:val="hybridMultilevel"/>
    <w:tmpl w:val="D1A4332E"/>
    <w:lvl w:ilvl="0" w:tplc="57C472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9387C3F"/>
    <w:multiLevelType w:val="hybridMultilevel"/>
    <w:tmpl w:val="3048966A"/>
    <w:lvl w:ilvl="0" w:tplc="80E8D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A1FA4"/>
    <w:multiLevelType w:val="hybridMultilevel"/>
    <w:tmpl w:val="306CE9BE"/>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520A08C0"/>
    <w:multiLevelType w:val="hybridMultilevel"/>
    <w:tmpl w:val="451A4B12"/>
    <w:lvl w:ilvl="0" w:tplc="5E705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A53446"/>
    <w:multiLevelType w:val="hybridMultilevel"/>
    <w:tmpl w:val="3C1C6720"/>
    <w:lvl w:ilvl="0" w:tplc="57C472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12"/>
    <w:rsid w:val="0005398C"/>
    <w:rsid w:val="00061F5A"/>
    <w:rsid w:val="00067DFE"/>
    <w:rsid w:val="000D04CA"/>
    <w:rsid w:val="000D3FE4"/>
    <w:rsid w:val="000E666A"/>
    <w:rsid w:val="0010137E"/>
    <w:rsid w:val="00104DF0"/>
    <w:rsid w:val="001256C0"/>
    <w:rsid w:val="00132AB5"/>
    <w:rsid w:val="001475FD"/>
    <w:rsid w:val="00152B55"/>
    <w:rsid w:val="001646A9"/>
    <w:rsid w:val="00194585"/>
    <w:rsid w:val="001B44BB"/>
    <w:rsid w:val="001D6A75"/>
    <w:rsid w:val="001E6062"/>
    <w:rsid w:val="001F7796"/>
    <w:rsid w:val="0020169F"/>
    <w:rsid w:val="0021226E"/>
    <w:rsid w:val="00247B75"/>
    <w:rsid w:val="00252828"/>
    <w:rsid w:val="00260944"/>
    <w:rsid w:val="00284992"/>
    <w:rsid w:val="00292945"/>
    <w:rsid w:val="00293398"/>
    <w:rsid w:val="00300BF4"/>
    <w:rsid w:val="003129F5"/>
    <w:rsid w:val="00313C7A"/>
    <w:rsid w:val="00346D52"/>
    <w:rsid w:val="00350F02"/>
    <w:rsid w:val="003711CB"/>
    <w:rsid w:val="00381B5B"/>
    <w:rsid w:val="00381CAD"/>
    <w:rsid w:val="00382687"/>
    <w:rsid w:val="003B6443"/>
    <w:rsid w:val="003C33F3"/>
    <w:rsid w:val="004053C3"/>
    <w:rsid w:val="00410193"/>
    <w:rsid w:val="00424841"/>
    <w:rsid w:val="00431B59"/>
    <w:rsid w:val="00436E22"/>
    <w:rsid w:val="0044604F"/>
    <w:rsid w:val="00467319"/>
    <w:rsid w:val="004912E7"/>
    <w:rsid w:val="004A1800"/>
    <w:rsid w:val="004A52FA"/>
    <w:rsid w:val="004C4880"/>
    <w:rsid w:val="004D2B6F"/>
    <w:rsid w:val="004D59EA"/>
    <w:rsid w:val="005026D2"/>
    <w:rsid w:val="00514A62"/>
    <w:rsid w:val="005324F6"/>
    <w:rsid w:val="00542A21"/>
    <w:rsid w:val="00550889"/>
    <w:rsid w:val="0056286E"/>
    <w:rsid w:val="00571789"/>
    <w:rsid w:val="005909A8"/>
    <w:rsid w:val="005A0312"/>
    <w:rsid w:val="005E0F54"/>
    <w:rsid w:val="005F7F52"/>
    <w:rsid w:val="00610A86"/>
    <w:rsid w:val="00621664"/>
    <w:rsid w:val="00683E95"/>
    <w:rsid w:val="00686A7B"/>
    <w:rsid w:val="006B567B"/>
    <w:rsid w:val="006D7412"/>
    <w:rsid w:val="006F2641"/>
    <w:rsid w:val="0070584D"/>
    <w:rsid w:val="00726824"/>
    <w:rsid w:val="0076432D"/>
    <w:rsid w:val="0077485A"/>
    <w:rsid w:val="00782C25"/>
    <w:rsid w:val="00791582"/>
    <w:rsid w:val="007B04F3"/>
    <w:rsid w:val="007D340F"/>
    <w:rsid w:val="008113B3"/>
    <w:rsid w:val="00816F32"/>
    <w:rsid w:val="00831B91"/>
    <w:rsid w:val="00852262"/>
    <w:rsid w:val="00893603"/>
    <w:rsid w:val="008A4ECE"/>
    <w:rsid w:val="008E0C55"/>
    <w:rsid w:val="008F00A3"/>
    <w:rsid w:val="008F6DF1"/>
    <w:rsid w:val="008F7DDB"/>
    <w:rsid w:val="008F7F59"/>
    <w:rsid w:val="009120B5"/>
    <w:rsid w:val="00912D3D"/>
    <w:rsid w:val="009349F8"/>
    <w:rsid w:val="00951999"/>
    <w:rsid w:val="0096117F"/>
    <w:rsid w:val="00962FD7"/>
    <w:rsid w:val="009701FA"/>
    <w:rsid w:val="009D14CA"/>
    <w:rsid w:val="009D3C0E"/>
    <w:rsid w:val="009F29F2"/>
    <w:rsid w:val="009F3B3F"/>
    <w:rsid w:val="009F4ABF"/>
    <w:rsid w:val="009F72D1"/>
    <w:rsid w:val="00A1325E"/>
    <w:rsid w:val="00A21112"/>
    <w:rsid w:val="00A24472"/>
    <w:rsid w:val="00A413BA"/>
    <w:rsid w:val="00A42A8E"/>
    <w:rsid w:val="00A46221"/>
    <w:rsid w:val="00A50C16"/>
    <w:rsid w:val="00A62878"/>
    <w:rsid w:val="00A650C8"/>
    <w:rsid w:val="00A85359"/>
    <w:rsid w:val="00AB2B9D"/>
    <w:rsid w:val="00AE2FE9"/>
    <w:rsid w:val="00B1330D"/>
    <w:rsid w:val="00B77321"/>
    <w:rsid w:val="00B819F6"/>
    <w:rsid w:val="00B8777A"/>
    <w:rsid w:val="00BC0D07"/>
    <w:rsid w:val="00BE695B"/>
    <w:rsid w:val="00C226B7"/>
    <w:rsid w:val="00C22E80"/>
    <w:rsid w:val="00C34692"/>
    <w:rsid w:val="00C50685"/>
    <w:rsid w:val="00C72D92"/>
    <w:rsid w:val="00C7479B"/>
    <w:rsid w:val="00CC2B7F"/>
    <w:rsid w:val="00CE1A0A"/>
    <w:rsid w:val="00D1773B"/>
    <w:rsid w:val="00D37492"/>
    <w:rsid w:val="00D51A91"/>
    <w:rsid w:val="00D53DDF"/>
    <w:rsid w:val="00D841E3"/>
    <w:rsid w:val="00DA4287"/>
    <w:rsid w:val="00DA4A23"/>
    <w:rsid w:val="00DD1ECC"/>
    <w:rsid w:val="00E27B57"/>
    <w:rsid w:val="00E63091"/>
    <w:rsid w:val="00E67F58"/>
    <w:rsid w:val="00E755BD"/>
    <w:rsid w:val="00E80867"/>
    <w:rsid w:val="00E90940"/>
    <w:rsid w:val="00E91EB7"/>
    <w:rsid w:val="00E93E91"/>
    <w:rsid w:val="00EB5045"/>
    <w:rsid w:val="00ED6E34"/>
    <w:rsid w:val="00EE6611"/>
    <w:rsid w:val="00EF4E1A"/>
    <w:rsid w:val="00F12661"/>
    <w:rsid w:val="00F148AE"/>
    <w:rsid w:val="00F153B3"/>
    <w:rsid w:val="00F337F2"/>
    <w:rsid w:val="00F37E1C"/>
    <w:rsid w:val="00F7751D"/>
    <w:rsid w:val="00F8360C"/>
    <w:rsid w:val="00F849EC"/>
    <w:rsid w:val="00F92994"/>
    <w:rsid w:val="00F9425E"/>
    <w:rsid w:val="00FD140E"/>
    <w:rsid w:val="00FE4B6F"/>
    <w:rsid w:val="00FE7D12"/>
    <w:rsid w:val="00FF3803"/>
  </w:rsids>
  <m:mathPr>
    <m:mathFont m:val="Cambria Math"/>
    <m:brkBin m:val="before"/>
    <m:brkBinSub m:val="--"/>
    <m:smallFrac/>
    <m:dispDef/>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BF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A75"/>
    <w:rPr>
      <w:rFonts w:ascii="Lucida Grande" w:hAnsi="Lucida Grande"/>
      <w:sz w:val="18"/>
      <w:szCs w:val="18"/>
    </w:rPr>
  </w:style>
  <w:style w:type="character" w:customStyle="1" w:styleId="BalloonTextChar">
    <w:name w:val="Balloon Text Char"/>
    <w:basedOn w:val="DefaultParagraphFont"/>
    <w:link w:val="BalloonText"/>
    <w:uiPriority w:val="99"/>
    <w:semiHidden/>
    <w:rsid w:val="001D6A75"/>
    <w:rPr>
      <w:rFonts w:ascii="Lucida Grande" w:hAnsi="Lucida Grande"/>
      <w:sz w:val="18"/>
      <w:szCs w:val="18"/>
    </w:rPr>
  </w:style>
  <w:style w:type="paragraph" w:styleId="Revision">
    <w:name w:val="Revision"/>
    <w:hidden/>
    <w:uiPriority w:val="99"/>
    <w:semiHidden/>
    <w:rsid w:val="00E63091"/>
  </w:style>
  <w:style w:type="paragraph" w:customStyle="1" w:styleId="Default">
    <w:name w:val="Default"/>
    <w:rsid w:val="00284992"/>
    <w:pPr>
      <w:autoSpaceDE w:val="0"/>
      <w:autoSpaceDN w:val="0"/>
      <w:adjustRightInd w:val="0"/>
    </w:pPr>
    <w:rPr>
      <w:rFonts w:ascii="Times New Roman" w:eastAsia="Cambria" w:hAnsi="Times New Roman" w:cs="Times New Roman"/>
      <w:color w:val="000000"/>
      <w:lang w:val="en-CA" w:eastAsia="en-US"/>
    </w:rPr>
  </w:style>
  <w:style w:type="paragraph" w:styleId="ListParagraph">
    <w:name w:val="List Paragraph"/>
    <w:basedOn w:val="Normal"/>
    <w:uiPriority w:val="34"/>
    <w:qFormat/>
    <w:rsid w:val="00610A86"/>
    <w:pPr>
      <w:ind w:left="720"/>
      <w:contextualSpacing/>
    </w:pPr>
  </w:style>
  <w:style w:type="table" w:styleId="TableGrid">
    <w:name w:val="Table Grid"/>
    <w:basedOn w:val="TableNormal"/>
    <w:uiPriority w:val="59"/>
    <w:rsid w:val="00BC0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A75"/>
    <w:rPr>
      <w:rFonts w:ascii="Lucida Grande" w:hAnsi="Lucida Grande"/>
      <w:sz w:val="18"/>
      <w:szCs w:val="18"/>
    </w:rPr>
  </w:style>
  <w:style w:type="character" w:customStyle="1" w:styleId="BalloonTextChar">
    <w:name w:val="Balloon Text Char"/>
    <w:basedOn w:val="DefaultParagraphFont"/>
    <w:link w:val="BalloonText"/>
    <w:uiPriority w:val="99"/>
    <w:semiHidden/>
    <w:rsid w:val="001D6A75"/>
    <w:rPr>
      <w:rFonts w:ascii="Lucida Grande" w:hAnsi="Lucida Grande"/>
      <w:sz w:val="18"/>
      <w:szCs w:val="18"/>
    </w:rPr>
  </w:style>
  <w:style w:type="paragraph" w:styleId="Revision">
    <w:name w:val="Revision"/>
    <w:hidden/>
    <w:uiPriority w:val="99"/>
    <w:semiHidden/>
    <w:rsid w:val="00E63091"/>
  </w:style>
  <w:style w:type="paragraph" w:customStyle="1" w:styleId="Default">
    <w:name w:val="Default"/>
    <w:rsid w:val="00284992"/>
    <w:pPr>
      <w:autoSpaceDE w:val="0"/>
      <w:autoSpaceDN w:val="0"/>
      <w:adjustRightInd w:val="0"/>
    </w:pPr>
    <w:rPr>
      <w:rFonts w:ascii="Times New Roman" w:eastAsia="Cambria" w:hAnsi="Times New Roman" w:cs="Times New Roman"/>
      <w:color w:val="000000"/>
      <w:lang w:val="en-CA" w:eastAsia="en-US"/>
    </w:rPr>
  </w:style>
  <w:style w:type="paragraph" w:styleId="ListParagraph">
    <w:name w:val="List Paragraph"/>
    <w:basedOn w:val="Normal"/>
    <w:uiPriority w:val="34"/>
    <w:qFormat/>
    <w:rsid w:val="00610A86"/>
    <w:pPr>
      <w:ind w:left="720"/>
      <w:contextualSpacing/>
    </w:pPr>
  </w:style>
  <w:style w:type="table" w:styleId="TableGrid">
    <w:name w:val="Table Grid"/>
    <w:basedOn w:val="TableNormal"/>
    <w:uiPriority w:val="59"/>
    <w:rsid w:val="00BC0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540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1085E-8ADB-49F1-8DBA-83976715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1386</Words>
  <Characters>7906</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Brewster Spy Company</Company>
  <LinksUpToDate>false</LinksUpToDate>
  <CharactersWithSpaces>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Brewster</dc:creator>
  <cp:lastModifiedBy>kyle appleby</cp:lastModifiedBy>
  <cp:revision>2</cp:revision>
  <cp:lastPrinted>2015-09-02T18:15:00Z</cp:lastPrinted>
  <dcterms:created xsi:type="dcterms:W3CDTF">2016-03-07T11:59:00Z</dcterms:created>
  <dcterms:modified xsi:type="dcterms:W3CDTF">2016-03-07T11:59:00Z</dcterms:modified>
</cp:coreProperties>
</file>